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E9743F" w14:paraId="5A2F8481" w14:textId="77777777">
        <w:trPr>
          <w:tblCellSpacing w:w="60" w:type="dxa"/>
        </w:trPr>
        <w:tc>
          <w:tcPr>
            <w:tcW w:w="1200" w:type="pct"/>
            <w:shd w:val="clear" w:color="auto" w:fill="E7F0F9"/>
          </w:tcPr>
          <w:p w14:paraId="73CBC534" w14:textId="77777777" w:rsidR="00E9743F" w:rsidRDefault="00944E32">
            <w:pPr>
              <w:spacing w:after="0" w:line="240" w:lineRule="auto"/>
            </w:pPr>
            <w:r>
              <w:rPr>
                <w:b/>
              </w:rPr>
              <w:t>RKP broj</w:t>
            </w:r>
          </w:p>
        </w:tc>
        <w:tc>
          <w:tcPr>
            <w:tcW w:w="0" w:type="auto"/>
            <w:shd w:val="clear" w:color="auto" w:fill="E7F0F9"/>
          </w:tcPr>
          <w:p w14:paraId="6B59416B" w14:textId="77777777" w:rsidR="00E9743F" w:rsidRDefault="00944E32">
            <w:pPr>
              <w:spacing w:after="0" w:line="240" w:lineRule="auto"/>
            </w:pPr>
            <w:r>
              <w:t>2330</w:t>
            </w:r>
          </w:p>
        </w:tc>
      </w:tr>
      <w:tr w:rsidR="00E9743F" w14:paraId="413D612C" w14:textId="77777777">
        <w:trPr>
          <w:tblCellSpacing w:w="60" w:type="dxa"/>
        </w:trPr>
        <w:tc>
          <w:tcPr>
            <w:tcW w:w="1200" w:type="pct"/>
            <w:shd w:val="clear" w:color="auto" w:fill="E7F0F9"/>
          </w:tcPr>
          <w:p w14:paraId="6BFB3296" w14:textId="77777777" w:rsidR="00E9743F" w:rsidRDefault="00944E32">
            <w:pPr>
              <w:spacing w:after="0" w:line="240" w:lineRule="auto"/>
            </w:pPr>
            <w:r>
              <w:rPr>
                <w:b/>
              </w:rPr>
              <w:t>Naziv obveznika</w:t>
            </w:r>
          </w:p>
        </w:tc>
        <w:tc>
          <w:tcPr>
            <w:tcW w:w="0" w:type="auto"/>
            <w:shd w:val="clear" w:color="auto" w:fill="E7F0F9"/>
          </w:tcPr>
          <w:p w14:paraId="1ED089A6" w14:textId="77777777" w:rsidR="00E9743F" w:rsidRDefault="00944E32">
            <w:pPr>
              <w:spacing w:after="0" w:line="240" w:lineRule="auto"/>
            </w:pPr>
            <w:r>
              <w:t>SVEUČILIŠTE U SPLITU, FAKULTET ELEKTROTEHNIKE, STROJARSTVA I BRODOGRADNJE</w:t>
            </w:r>
          </w:p>
        </w:tc>
      </w:tr>
      <w:tr w:rsidR="00E9743F" w14:paraId="07F74E4B" w14:textId="77777777">
        <w:trPr>
          <w:tblCellSpacing w:w="60" w:type="dxa"/>
        </w:trPr>
        <w:tc>
          <w:tcPr>
            <w:tcW w:w="1200" w:type="pct"/>
            <w:shd w:val="clear" w:color="auto" w:fill="E7F0F9"/>
          </w:tcPr>
          <w:p w14:paraId="6AC5B3D7" w14:textId="77777777" w:rsidR="00E9743F" w:rsidRDefault="00944E32">
            <w:pPr>
              <w:spacing w:after="0" w:line="240" w:lineRule="auto"/>
            </w:pPr>
            <w:r>
              <w:rPr>
                <w:b/>
              </w:rPr>
              <w:t>Razina</w:t>
            </w:r>
          </w:p>
        </w:tc>
        <w:tc>
          <w:tcPr>
            <w:tcW w:w="0" w:type="auto"/>
            <w:shd w:val="clear" w:color="auto" w:fill="E7F0F9"/>
          </w:tcPr>
          <w:p w14:paraId="3D913DA9" w14:textId="77777777" w:rsidR="00E9743F" w:rsidRDefault="00944E32">
            <w:pPr>
              <w:spacing w:after="0" w:line="240" w:lineRule="auto"/>
            </w:pPr>
            <w:r>
              <w:t>11</w:t>
            </w:r>
          </w:p>
        </w:tc>
      </w:tr>
    </w:tbl>
    <w:p w14:paraId="35835B2E" w14:textId="77777777" w:rsidR="00E9743F" w:rsidRDefault="00944E32">
      <w:r>
        <w:br/>
      </w:r>
    </w:p>
    <w:p w14:paraId="0B4DB594" w14:textId="77777777" w:rsidR="00E9743F" w:rsidRDefault="00944E32">
      <w:pPr>
        <w:spacing w:line="240" w:lineRule="auto"/>
        <w:jc w:val="center"/>
      </w:pPr>
      <w:r>
        <w:rPr>
          <w:b/>
          <w:sz w:val="28"/>
        </w:rPr>
        <w:t>BILJEŠKE UZ FINANCIJSKE IZVJEŠTAJE</w:t>
      </w:r>
    </w:p>
    <w:p w14:paraId="3F3B9547" w14:textId="77777777" w:rsidR="00E9743F" w:rsidRDefault="00944E32">
      <w:pPr>
        <w:spacing w:line="240" w:lineRule="auto"/>
        <w:jc w:val="center"/>
      </w:pPr>
      <w:r>
        <w:rPr>
          <w:b/>
          <w:sz w:val="28"/>
        </w:rPr>
        <w:t>ZA RAZDOBLJE</w:t>
      </w:r>
    </w:p>
    <w:p w14:paraId="6BDAAC91" w14:textId="77777777" w:rsidR="00E9743F" w:rsidRDefault="00944E32">
      <w:pPr>
        <w:spacing w:line="240" w:lineRule="auto"/>
        <w:jc w:val="center"/>
      </w:pPr>
      <w:r>
        <w:rPr>
          <w:b/>
          <w:sz w:val="28"/>
        </w:rPr>
        <w:t>I - XII 2025.</w:t>
      </w:r>
    </w:p>
    <w:p w14:paraId="3F1B2678" w14:textId="77777777" w:rsidR="00E9743F" w:rsidRDefault="00E9743F"/>
    <w:p w14:paraId="0F9FA3BC" w14:textId="77777777" w:rsidR="00E9743F" w:rsidRDefault="00944E32">
      <w:pPr>
        <w:keepNext/>
        <w:spacing w:line="240" w:lineRule="auto"/>
        <w:jc w:val="center"/>
      </w:pPr>
      <w:r>
        <w:rPr>
          <w:b/>
          <w:sz w:val="28"/>
        </w:rPr>
        <w:t>Izvještaj o prihodima i rashodima, primicima i izdacima</w:t>
      </w:r>
    </w:p>
    <w:p w14:paraId="7A592A7A" w14:textId="77777777" w:rsidR="00E9743F" w:rsidRDefault="00944E32">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743F" w14:paraId="5FC70F54" w14:textId="77777777">
        <w:trPr>
          <w:cantSplit/>
        </w:trPr>
        <w:tc>
          <w:tcPr>
            <w:tcW w:w="700" w:type="dxa"/>
            <w:shd w:val="clear" w:color="auto" w:fill="E7F0F9"/>
            <w:tcMar>
              <w:top w:w="0" w:type="dxa"/>
              <w:bottom w:w="0" w:type="dxa"/>
            </w:tcMar>
            <w:vAlign w:val="center"/>
          </w:tcPr>
          <w:p w14:paraId="49BF7997" w14:textId="77777777" w:rsidR="00E9743F" w:rsidRDefault="00944E32">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1A865A7" w14:textId="77777777" w:rsidR="00E9743F" w:rsidRDefault="00944E3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50A2AA" w14:textId="77777777" w:rsidR="00E9743F" w:rsidRDefault="00944E3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7D3C48" w14:textId="77777777" w:rsidR="00E9743F" w:rsidRDefault="00944E3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7E7EE8" w14:textId="77777777" w:rsidR="00E9743F" w:rsidRDefault="00944E3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D76193" w14:textId="77777777" w:rsidR="00E9743F" w:rsidRDefault="00944E32">
            <w:pPr>
              <w:keepNext/>
              <w:keepLines/>
              <w:spacing w:after="0" w:line="240" w:lineRule="auto"/>
              <w:jc w:val="center"/>
            </w:pPr>
            <w:r>
              <w:rPr>
                <w:b/>
                <w:sz w:val="18"/>
              </w:rPr>
              <w:t>Indeks (%)</w:t>
            </w:r>
          </w:p>
        </w:tc>
      </w:tr>
      <w:tr w:rsidR="00E9743F" w14:paraId="68AFED67" w14:textId="77777777">
        <w:trPr>
          <w:cantSplit/>
          <w:trHeight w:val="560"/>
        </w:trPr>
        <w:tc>
          <w:tcPr>
            <w:tcW w:w="700" w:type="dxa"/>
            <w:tcMar>
              <w:top w:w="0" w:type="dxa"/>
              <w:bottom w:w="0" w:type="dxa"/>
            </w:tcMar>
            <w:vAlign w:val="center"/>
          </w:tcPr>
          <w:p w14:paraId="72A3FBEE" w14:textId="77777777" w:rsidR="00E9743F" w:rsidRDefault="00944E32">
            <w:pPr>
              <w:keepNext/>
              <w:keepLines/>
              <w:spacing w:after="0" w:line="240" w:lineRule="auto"/>
            </w:pPr>
            <w:r>
              <w:rPr>
                <w:sz w:val="18"/>
              </w:rPr>
              <w:t>6</w:t>
            </w:r>
          </w:p>
        </w:tc>
        <w:tc>
          <w:tcPr>
            <w:tcW w:w="3180" w:type="dxa"/>
            <w:tcMar>
              <w:top w:w="0" w:type="dxa"/>
              <w:bottom w:w="0" w:type="dxa"/>
            </w:tcMar>
            <w:vAlign w:val="center"/>
          </w:tcPr>
          <w:p w14:paraId="1804C150" w14:textId="77777777" w:rsidR="00E9743F" w:rsidRDefault="00944E32">
            <w:pPr>
              <w:keepNext/>
              <w:keepLines/>
              <w:spacing w:after="0" w:line="240" w:lineRule="auto"/>
            </w:pPr>
            <w:r>
              <w:rPr>
                <w:sz w:val="18"/>
              </w:rPr>
              <w:t>PRIHODI POSLOVANJA (šifre 61+62+63+64+65+66+67+68)</w:t>
            </w:r>
          </w:p>
        </w:tc>
        <w:tc>
          <w:tcPr>
            <w:tcW w:w="700" w:type="dxa"/>
            <w:tcMar>
              <w:top w:w="0" w:type="dxa"/>
              <w:bottom w:w="0" w:type="dxa"/>
            </w:tcMar>
            <w:vAlign w:val="center"/>
          </w:tcPr>
          <w:p w14:paraId="0978EA9D" w14:textId="77777777" w:rsidR="00E9743F" w:rsidRDefault="00944E32">
            <w:pPr>
              <w:keepNext/>
              <w:keepLines/>
              <w:spacing w:after="0" w:line="240" w:lineRule="auto"/>
            </w:pPr>
            <w:r>
              <w:rPr>
                <w:sz w:val="18"/>
              </w:rPr>
              <w:t>6</w:t>
            </w:r>
          </w:p>
        </w:tc>
        <w:tc>
          <w:tcPr>
            <w:tcW w:w="1860" w:type="dxa"/>
            <w:tcMar>
              <w:top w:w="0" w:type="dxa"/>
              <w:bottom w:w="0" w:type="dxa"/>
            </w:tcMar>
            <w:vAlign w:val="center"/>
          </w:tcPr>
          <w:p w14:paraId="7ECD469F" w14:textId="77777777" w:rsidR="00E9743F" w:rsidRDefault="00944E32">
            <w:pPr>
              <w:keepNext/>
              <w:keepLines/>
              <w:spacing w:after="0" w:line="240" w:lineRule="auto"/>
              <w:jc w:val="right"/>
            </w:pPr>
            <w:r>
              <w:rPr>
                <w:sz w:val="18"/>
              </w:rPr>
              <w:t>13.194.071,43</w:t>
            </w:r>
          </w:p>
        </w:tc>
        <w:tc>
          <w:tcPr>
            <w:tcW w:w="1860" w:type="dxa"/>
            <w:tcMar>
              <w:top w:w="0" w:type="dxa"/>
              <w:bottom w:w="0" w:type="dxa"/>
            </w:tcMar>
            <w:vAlign w:val="center"/>
          </w:tcPr>
          <w:p w14:paraId="241B4DCE" w14:textId="77777777" w:rsidR="00E9743F" w:rsidRDefault="00944E32">
            <w:pPr>
              <w:keepNext/>
              <w:keepLines/>
              <w:spacing w:after="0" w:line="240" w:lineRule="auto"/>
              <w:jc w:val="right"/>
            </w:pPr>
            <w:r>
              <w:rPr>
                <w:sz w:val="18"/>
              </w:rPr>
              <w:t>13.918.302,32</w:t>
            </w:r>
          </w:p>
        </w:tc>
        <w:tc>
          <w:tcPr>
            <w:tcW w:w="700" w:type="dxa"/>
            <w:tcMar>
              <w:top w:w="0" w:type="dxa"/>
              <w:bottom w:w="0" w:type="dxa"/>
            </w:tcMar>
            <w:vAlign w:val="center"/>
          </w:tcPr>
          <w:p w14:paraId="46849E0B" w14:textId="77777777" w:rsidR="00E9743F" w:rsidRDefault="00944E32">
            <w:pPr>
              <w:keepNext/>
              <w:keepLines/>
              <w:spacing w:after="0" w:line="240" w:lineRule="auto"/>
              <w:jc w:val="right"/>
            </w:pPr>
            <w:r>
              <w:rPr>
                <w:sz w:val="18"/>
              </w:rPr>
              <w:t>105,5</w:t>
            </w:r>
          </w:p>
        </w:tc>
      </w:tr>
      <w:tr w:rsidR="00E9743F" w14:paraId="067A4B33" w14:textId="77777777">
        <w:trPr>
          <w:cantSplit/>
          <w:trHeight w:val="560"/>
        </w:trPr>
        <w:tc>
          <w:tcPr>
            <w:tcW w:w="700" w:type="dxa"/>
            <w:tcMar>
              <w:top w:w="0" w:type="dxa"/>
              <w:bottom w:w="0" w:type="dxa"/>
            </w:tcMar>
            <w:vAlign w:val="center"/>
          </w:tcPr>
          <w:p w14:paraId="4033675A" w14:textId="77777777" w:rsidR="00E9743F" w:rsidRDefault="00944E32">
            <w:pPr>
              <w:keepNext/>
              <w:keepLines/>
              <w:spacing w:after="0" w:line="240" w:lineRule="auto"/>
            </w:pPr>
            <w:r>
              <w:rPr>
                <w:sz w:val="18"/>
              </w:rPr>
              <w:t>3</w:t>
            </w:r>
          </w:p>
        </w:tc>
        <w:tc>
          <w:tcPr>
            <w:tcW w:w="3180" w:type="dxa"/>
            <w:tcMar>
              <w:top w:w="0" w:type="dxa"/>
              <w:bottom w:w="0" w:type="dxa"/>
            </w:tcMar>
            <w:vAlign w:val="center"/>
          </w:tcPr>
          <w:p w14:paraId="0F10C6DC" w14:textId="77777777" w:rsidR="00E9743F" w:rsidRDefault="00944E32">
            <w:pPr>
              <w:keepNext/>
              <w:keepLines/>
              <w:spacing w:after="0" w:line="240" w:lineRule="auto"/>
            </w:pPr>
            <w:r>
              <w:rPr>
                <w:sz w:val="18"/>
              </w:rPr>
              <w:t>RASHODI POSLOVANJA (šifre 31+32+34+35+36+37+38)</w:t>
            </w:r>
          </w:p>
        </w:tc>
        <w:tc>
          <w:tcPr>
            <w:tcW w:w="700" w:type="dxa"/>
            <w:tcMar>
              <w:top w:w="0" w:type="dxa"/>
              <w:bottom w:w="0" w:type="dxa"/>
            </w:tcMar>
            <w:vAlign w:val="center"/>
          </w:tcPr>
          <w:p w14:paraId="11A98D43" w14:textId="77777777" w:rsidR="00E9743F" w:rsidRDefault="00944E32">
            <w:pPr>
              <w:keepNext/>
              <w:keepLines/>
              <w:spacing w:after="0" w:line="240" w:lineRule="auto"/>
            </w:pPr>
            <w:r>
              <w:rPr>
                <w:sz w:val="18"/>
              </w:rPr>
              <w:t>3</w:t>
            </w:r>
          </w:p>
        </w:tc>
        <w:tc>
          <w:tcPr>
            <w:tcW w:w="1860" w:type="dxa"/>
            <w:tcMar>
              <w:top w:w="0" w:type="dxa"/>
              <w:bottom w:w="0" w:type="dxa"/>
            </w:tcMar>
            <w:vAlign w:val="center"/>
          </w:tcPr>
          <w:p w14:paraId="309D04AE" w14:textId="77777777" w:rsidR="00E9743F" w:rsidRDefault="00944E32">
            <w:pPr>
              <w:keepNext/>
              <w:keepLines/>
              <w:spacing w:after="0" w:line="240" w:lineRule="auto"/>
              <w:jc w:val="right"/>
            </w:pPr>
            <w:r>
              <w:rPr>
                <w:sz w:val="18"/>
              </w:rPr>
              <w:t>11.600.482,32</w:t>
            </w:r>
          </w:p>
        </w:tc>
        <w:tc>
          <w:tcPr>
            <w:tcW w:w="1860" w:type="dxa"/>
            <w:tcMar>
              <w:top w:w="0" w:type="dxa"/>
              <w:bottom w:w="0" w:type="dxa"/>
            </w:tcMar>
            <w:vAlign w:val="center"/>
          </w:tcPr>
          <w:p w14:paraId="12C949AD" w14:textId="77777777" w:rsidR="00E9743F" w:rsidRDefault="00944E32">
            <w:pPr>
              <w:keepNext/>
              <w:keepLines/>
              <w:spacing w:after="0" w:line="240" w:lineRule="auto"/>
              <w:jc w:val="right"/>
            </w:pPr>
            <w:r>
              <w:rPr>
                <w:sz w:val="18"/>
              </w:rPr>
              <w:t>13.775.846,38</w:t>
            </w:r>
          </w:p>
        </w:tc>
        <w:tc>
          <w:tcPr>
            <w:tcW w:w="700" w:type="dxa"/>
            <w:tcMar>
              <w:top w:w="0" w:type="dxa"/>
              <w:bottom w:w="0" w:type="dxa"/>
            </w:tcMar>
            <w:vAlign w:val="center"/>
          </w:tcPr>
          <w:p w14:paraId="4F1C29BE" w14:textId="77777777" w:rsidR="00E9743F" w:rsidRDefault="00944E32">
            <w:pPr>
              <w:keepNext/>
              <w:keepLines/>
              <w:spacing w:after="0" w:line="240" w:lineRule="auto"/>
              <w:jc w:val="right"/>
            </w:pPr>
            <w:r>
              <w:rPr>
                <w:sz w:val="18"/>
              </w:rPr>
              <w:t>118,8</w:t>
            </w:r>
          </w:p>
        </w:tc>
      </w:tr>
      <w:tr w:rsidR="00E9743F" w14:paraId="12803BB3" w14:textId="77777777">
        <w:trPr>
          <w:cantSplit/>
          <w:trHeight w:val="560"/>
        </w:trPr>
        <w:tc>
          <w:tcPr>
            <w:tcW w:w="700" w:type="dxa"/>
            <w:tcMar>
              <w:top w:w="0" w:type="dxa"/>
              <w:bottom w:w="0" w:type="dxa"/>
            </w:tcMar>
            <w:vAlign w:val="center"/>
          </w:tcPr>
          <w:p w14:paraId="1CA38998" w14:textId="77777777" w:rsidR="00E9743F" w:rsidRDefault="00E9743F">
            <w:pPr>
              <w:keepNext/>
              <w:keepLines/>
              <w:spacing w:after="0" w:line="240" w:lineRule="auto"/>
            </w:pPr>
          </w:p>
        </w:tc>
        <w:tc>
          <w:tcPr>
            <w:tcW w:w="3180" w:type="dxa"/>
            <w:tcMar>
              <w:top w:w="0" w:type="dxa"/>
              <w:bottom w:w="0" w:type="dxa"/>
            </w:tcMar>
            <w:vAlign w:val="center"/>
          </w:tcPr>
          <w:p w14:paraId="48E24A2F" w14:textId="77777777" w:rsidR="00E9743F" w:rsidRDefault="00944E32">
            <w:pPr>
              <w:keepNext/>
              <w:keepLines/>
              <w:spacing w:after="0" w:line="240" w:lineRule="auto"/>
            </w:pPr>
            <w:r>
              <w:rPr>
                <w:b/>
                <w:sz w:val="18"/>
              </w:rPr>
              <w:t>VIŠAK PRIHODA POSLOVANJA (šifre 6-Z005)</w:t>
            </w:r>
          </w:p>
        </w:tc>
        <w:tc>
          <w:tcPr>
            <w:tcW w:w="700" w:type="dxa"/>
            <w:tcMar>
              <w:top w:w="0" w:type="dxa"/>
              <w:bottom w:w="0" w:type="dxa"/>
            </w:tcMar>
            <w:vAlign w:val="center"/>
          </w:tcPr>
          <w:p w14:paraId="2C44CF3B" w14:textId="77777777" w:rsidR="00E9743F" w:rsidRDefault="00944E32">
            <w:pPr>
              <w:keepNext/>
              <w:keepLines/>
              <w:spacing w:after="0" w:line="240" w:lineRule="auto"/>
            </w:pPr>
            <w:r>
              <w:rPr>
                <w:b/>
                <w:sz w:val="18"/>
              </w:rPr>
              <w:t>X001</w:t>
            </w:r>
          </w:p>
        </w:tc>
        <w:tc>
          <w:tcPr>
            <w:tcW w:w="1860" w:type="dxa"/>
            <w:tcMar>
              <w:top w:w="0" w:type="dxa"/>
              <w:bottom w:w="0" w:type="dxa"/>
            </w:tcMar>
            <w:vAlign w:val="center"/>
          </w:tcPr>
          <w:p w14:paraId="66CEE253" w14:textId="77777777" w:rsidR="00E9743F" w:rsidRDefault="00944E32">
            <w:pPr>
              <w:keepNext/>
              <w:keepLines/>
              <w:spacing w:after="0" w:line="240" w:lineRule="auto"/>
              <w:jc w:val="right"/>
            </w:pPr>
            <w:r>
              <w:rPr>
                <w:b/>
                <w:sz w:val="18"/>
              </w:rPr>
              <w:t>1.593.589,11</w:t>
            </w:r>
          </w:p>
        </w:tc>
        <w:tc>
          <w:tcPr>
            <w:tcW w:w="1860" w:type="dxa"/>
            <w:tcMar>
              <w:top w:w="0" w:type="dxa"/>
              <w:bottom w:w="0" w:type="dxa"/>
            </w:tcMar>
            <w:vAlign w:val="center"/>
          </w:tcPr>
          <w:p w14:paraId="29CD6677" w14:textId="77777777" w:rsidR="00E9743F" w:rsidRDefault="00944E32">
            <w:pPr>
              <w:keepNext/>
              <w:keepLines/>
              <w:spacing w:after="0" w:line="240" w:lineRule="auto"/>
              <w:jc w:val="right"/>
            </w:pPr>
            <w:r>
              <w:rPr>
                <w:b/>
                <w:sz w:val="18"/>
              </w:rPr>
              <w:t>142.455,94</w:t>
            </w:r>
          </w:p>
        </w:tc>
        <w:tc>
          <w:tcPr>
            <w:tcW w:w="700" w:type="dxa"/>
            <w:tcMar>
              <w:top w:w="0" w:type="dxa"/>
              <w:bottom w:w="0" w:type="dxa"/>
            </w:tcMar>
            <w:vAlign w:val="center"/>
          </w:tcPr>
          <w:p w14:paraId="47E0B4AD" w14:textId="77777777" w:rsidR="00E9743F" w:rsidRDefault="00944E32">
            <w:pPr>
              <w:keepNext/>
              <w:keepLines/>
              <w:spacing w:after="0" w:line="240" w:lineRule="auto"/>
              <w:jc w:val="right"/>
            </w:pPr>
            <w:r>
              <w:rPr>
                <w:b/>
                <w:sz w:val="18"/>
              </w:rPr>
              <w:t>8,9</w:t>
            </w:r>
          </w:p>
        </w:tc>
      </w:tr>
      <w:tr w:rsidR="00E9743F" w14:paraId="02865364" w14:textId="77777777">
        <w:trPr>
          <w:cantSplit/>
          <w:trHeight w:val="560"/>
        </w:trPr>
        <w:tc>
          <w:tcPr>
            <w:tcW w:w="700" w:type="dxa"/>
            <w:tcMar>
              <w:top w:w="0" w:type="dxa"/>
              <w:bottom w:w="0" w:type="dxa"/>
            </w:tcMar>
            <w:vAlign w:val="center"/>
          </w:tcPr>
          <w:p w14:paraId="5C7EF640" w14:textId="77777777" w:rsidR="00E9743F" w:rsidRDefault="00944E32">
            <w:pPr>
              <w:keepNext/>
              <w:keepLines/>
              <w:spacing w:after="0" w:line="240" w:lineRule="auto"/>
            </w:pPr>
            <w:r>
              <w:rPr>
                <w:sz w:val="18"/>
              </w:rPr>
              <w:t>7</w:t>
            </w:r>
          </w:p>
        </w:tc>
        <w:tc>
          <w:tcPr>
            <w:tcW w:w="3180" w:type="dxa"/>
            <w:tcMar>
              <w:top w:w="0" w:type="dxa"/>
              <w:bottom w:w="0" w:type="dxa"/>
            </w:tcMar>
            <w:vAlign w:val="center"/>
          </w:tcPr>
          <w:p w14:paraId="0DB9E63F" w14:textId="77777777" w:rsidR="00E9743F" w:rsidRDefault="00944E32">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2FC2AF11" w14:textId="77777777" w:rsidR="00E9743F" w:rsidRDefault="00944E32">
            <w:pPr>
              <w:keepNext/>
              <w:keepLines/>
              <w:spacing w:after="0" w:line="240" w:lineRule="auto"/>
            </w:pPr>
            <w:r>
              <w:rPr>
                <w:sz w:val="18"/>
              </w:rPr>
              <w:t>7</w:t>
            </w:r>
          </w:p>
        </w:tc>
        <w:tc>
          <w:tcPr>
            <w:tcW w:w="1860" w:type="dxa"/>
            <w:tcMar>
              <w:top w:w="0" w:type="dxa"/>
              <w:bottom w:w="0" w:type="dxa"/>
            </w:tcMar>
            <w:vAlign w:val="center"/>
          </w:tcPr>
          <w:p w14:paraId="5AC2F125" w14:textId="77777777" w:rsidR="00E9743F" w:rsidRDefault="00944E32">
            <w:pPr>
              <w:keepNext/>
              <w:keepLines/>
              <w:spacing w:after="0" w:line="240" w:lineRule="auto"/>
              <w:jc w:val="right"/>
            </w:pPr>
            <w:r>
              <w:rPr>
                <w:sz w:val="18"/>
              </w:rPr>
              <w:t>53,42</w:t>
            </w:r>
          </w:p>
        </w:tc>
        <w:tc>
          <w:tcPr>
            <w:tcW w:w="1860" w:type="dxa"/>
            <w:tcMar>
              <w:top w:w="0" w:type="dxa"/>
              <w:bottom w:w="0" w:type="dxa"/>
            </w:tcMar>
            <w:vAlign w:val="center"/>
          </w:tcPr>
          <w:p w14:paraId="03AA0DB5" w14:textId="77777777" w:rsidR="00E9743F" w:rsidRDefault="00944E32">
            <w:pPr>
              <w:keepNext/>
              <w:keepLines/>
              <w:spacing w:after="0" w:line="240" w:lineRule="auto"/>
              <w:jc w:val="right"/>
            </w:pPr>
            <w:r>
              <w:rPr>
                <w:sz w:val="18"/>
              </w:rPr>
              <w:t>2.810,20</w:t>
            </w:r>
          </w:p>
        </w:tc>
        <w:tc>
          <w:tcPr>
            <w:tcW w:w="700" w:type="dxa"/>
            <w:tcMar>
              <w:top w:w="0" w:type="dxa"/>
              <w:bottom w:w="0" w:type="dxa"/>
            </w:tcMar>
            <w:vAlign w:val="center"/>
          </w:tcPr>
          <w:p w14:paraId="2DDC967F" w14:textId="77777777" w:rsidR="00E9743F" w:rsidRDefault="00944E32">
            <w:pPr>
              <w:keepNext/>
              <w:keepLines/>
              <w:spacing w:after="0" w:line="240" w:lineRule="auto"/>
              <w:jc w:val="right"/>
            </w:pPr>
            <w:r>
              <w:rPr>
                <w:sz w:val="18"/>
              </w:rPr>
              <w:t>5260,6</w:t>
            </w:r>
          </w:p>
        </w:tc>
      </w:tr>
      <w:tr w:rsidR="00E9743F" w14:paraId="3E2CFE1D" w14:textId="77777777">
        <w:trPr>
          <w:cantSplit/>
          <w:trHeight w:val="560"/>
        </w:trPr>
        <w:tc>
          <w:tcPr>
            <w:tcW w:w="700" w:type="dxa"/>
            <w:tcMar>
              <w:top w:w="0" w:type="dxa"/>
              <w:bottom w:w="0" w:type="dxa"/>
            </w:tcMar>
            <w:vAlign w:val="center"/>
          </w:tcPr>
          <w:p w14:paraId="7639E137" w14:textId="77777777" w:rsidR="00E9743F" w:rsidRDefault="00944E32">
            <w:pPr>
              <w:keepNext/>
              <w:keepLines/>
              <w:spacing w:after="0" w:line="240" w:lineRule="auto"/>
            </w:pPr>
            <w:r>
              <w:rPr>
                <w:sz w:val="18"/>
              </w:rPr>
              <w:t>4</w:t>
            </w:r>
          </w:p>
        </w:tc>
        <w:tc>
          <w:tcPr>
            <w:tcW w:w="3180" w:type="dxa"/>
            <w:tcMar>
              <w:top w:w="0" w:type="dxa"/>
              <w:bottom w:w="0" w:type="dxa"/>
            </w:tcMar>
            <w:vAlign w:val="center"/>
          </w:tcPr>
          <w:p w14:paraId="2581FC89" w14:textId="77777777" w:rsidR="00E9743F" w:rsidRDefault="00944E32">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6C1E06D" w14:textId="77777777" w:rsidR="00E9743F" w:rsidRDefault="00944E32">
            <w:pPr>
              <w:keepNext/>
              <w:keepLines/>
              <w:spacing w:after="0" w:line="240" w:lineRule="auto"/>
            </w:pPr>
            <w:r>
              <w:rPr>
                <w:sz w:val="18"/>
              </w:rPr>
              <w:t>4</w:t>
            </w:r>
          </w:p>
        </w:tc>
        <w:tc>
          <w:tcPr>
            <w:tcW w:w="1860" w:type="dxa"/>
            <w:tcMar>
              <w:top w:w="0" w:type="dxa"/>
              <w:bottom w:w="0" w:type="dxa"/>
            </w:tcMar>
            <w:vAlign w:val="center"/>
          </w:tcPr>
          <w:p w14:paraId="56CB621B" w14:textId="77777777" w:rsidR="00E9743F" w:rsidRDefault="00944E32">
            <w:pPr>
              <w:keepNext/>
              <w:keepLines/>
              <w:spacing w:after="0" w:line="240" w:lineRule="auto"/>
              <w:jc w:val="right"/>
            </w:pPr>
            <w:r>
              <w:rPr>
                <w:sz w:val="18"/>
              </w:rPr>
              <w:t>347.615,23</w:t>
            </w:r>
          </w:p>
        </w:tc>
        <w:tc>
          <w:tcPr>
            <w:tcW w:w="1860" w:type="dxa"/>
            <w:tcMar>
              <w:top w:w="0" w:type="dxa"/>
              <w:bottom w:w="0" w:type="dxa"/>
            </w:tcMar>
            <w:vAlign w:val="center"/>
          </w:tcPr>
          <w:p w14:paraId="537F7B9A" w14:textId="77777777" w:rsidR="00E9743F" w:rsidRDefault="00944E32">
            <w:pPr>
              <w:keepNext/>
              <w:keepLines/>
              <w:spacing w:after="0" w:line="240" w:lineRule="auto"/>
              <w:jc w:val="right"/>
            </w:pPr>
            <w:r>
              <w:rPr>
                <w:sz w:val="18"/>
              </w:rPr>
              <w:t>649.569,68</w:t>
            </w:r>
          </w:p>
        </w:tc>
        <w:tc>
          <w:tcPr>
            <w:tcW w:w="700" w:type="dxa"/>
            <w:tcMar>
              <w:top w:w="0" w:type="dxa"/>
              <w:bottom w:w="0" w:type="dxa"/>
            </w:tcMar>
            <w:vAlign w:val="center"/>
          </w:tcPr>
          <w:p w14:paraId="5CB59BF5" w14:textId="77777777" w:rsidR="00E9743F" w:rsidRDefault="00944E32">
            <w:pPr>
              <w:keepNext/>
              <w:keepLines/>
              <w:spacing w:after="0" w:line="240" w:lineRule="auto"/>
              <w:jc w:val="right"/>
            </w:pPr>
            <w:r>
              <w:rPr>
                <w:sz w:val="18"/>
              </w:rPr>
              <w:t>186,9</w:t>
            </w:r>
          </w:p>
        </w:tc>
      </w:tr>
      <w:tr w:rsidR="00E9743F" w14:paraId="33B580F3" w14:textId="77777777">
        <w:trPr>
          <w:cantSplit/>
          <w:trHeight w:val="560"/>
        </w:trPr>
        <w:tc>
          <w:tcPr>
            <w:tcW w:w="700" w:type="dxa"/>
            <w:tcMar>
              <w:top w:w="0" w:type="dxa"/>
              <w:bottom w:w="0" w:type="dxa"/>
            </w:tcMar>
            <w:vAlign w:val="center"/>
          </w:tcPr>
          <w:p w14:paraId="5F1D7EE4" w14:textId="77777777" w:rsidR="00E9743F" w:rsidRDefault="00E9743F">
            <w:pPr>
              <w:keepNext/>
              <w:keepLines/>
              <w:spacing w:after="0" w:line="240" w:lineRule="auto"/>
            </w:pPr>
          </w:p>
        </w:tc>
        <w:tc>
          <w:tcPr>
            <w:tcW w:w="3180" w:type="dxa"/>
            <w:tcMar>
              <w:top w:w="0" w:type="dxa"/>
              <w:bottom w:w="0" w:type="dxa"/>
            </w:tcMar>
            <w:vAlign w:val="center"/>
          </w:tcPr>
          <w:p w14:paraId="0999E14D" w14:textId="77777777" w:rsidR="00E9743F" w:rsidRDefault="00944E32">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6F64ECBC" w14:textId="77777777" w:rsidR="00E9743F" w:rsidRDefault="00944E32">
            <w:pPr>
              <w:keepNext/>
              <w:keepLines/>
              <w:spacing w:after="0" w:line="240" w:lineRule="auto"/>
            </w:pPr>
            <w:r>
              <w:rPr>
                <w:b/>
                <w:sz w:val="18"/>
              </w:rPr>
              <w:t>Y002</w:t>
            </w:r>
          </w:p>
        </w:tc>
        <w:tc>
          <w:tcPr>
            <w:tcW w:w="1860" w:type="dxa"/>
            <w:tcMar>
              <w:top w:w="0" w:type="dxa"/>
              <w:bottom w:w="0" w:type="dxa"/>
            </w:tcMar>
            <w:vAlign w:val="center"/>
          </w:tcPr>
          <w:p w14:paraId="0DDAD71F" w14:textId="77777777" w:rsidR="00E9743F" w:rsidRDefault="00944E32">
            <w:pPr>
              <w:keepNext/>
              <w:keepLines/>
              <w:spacing w:after="0" w:line="240" w:lineRule="auto"/>
              <w:jc w:val="right"/>
            </w:pPr>
            <w:r>
              <w:rPr>
                <w:b/>
                <w:sz w:val="18"/>
              </w:rPr>
              <w:t>347.561,81</w:t>
            </w:r>
          </w:p>
        </w:tc>
        <w:tc>
          <w:tcPr>
            <w:tcW w:w="1860" w:type="dxa"/>
            <w:tcMar>
              <w:top w:w="0" w:type="dxa"/>
              <w:bottom w:w="0" w:type="dxa"/>
            </w:tcMar>
            <w:vAlign w:val="center"/>
          </w:tcPr>
          <w:p w14:paraId="1F7B6641" w14:textId="77777777" w:rsidR="00E9743F" w:rsidRDefault="00944E32">
            <w:pPr>
              <w:keepNext/>
              <w:keepLines/>
              <w:spacing w:after="0" w:line="240" w:lineRule="auto"/>
              <w:jc w:val="right"/>
            </w:pPr>
            <w:r>
              <w:rPr>
                <w:b/>
                <w:sz w:val="18"/>
              </w:rPr>
              <w:t>646.759,48</w:t>
            </w:r>
          </w:p>
        </w:tc>
        <w:tc>
          <w:tcPr>
            <w:tcW w:w="700" w:type="dxa"/>
            <w:tcMar>
              <w:top w:w="0" w:type="dxa"/>
              <w:bottom w:w="0" w:type="dxa"/>
            </w:tcMar>
            <w:vAlign w:val="center"/>
          </w:tcPr>
          <w:p w14:paraId="5C0E829C" w14:textId="77777777" w:rsidR="00E9743F" w:rsidRDefault="00944E32">
            <w:pPr>
              <w:keepNext/>
              <w:keepLines/>
              <w:spacing w:after="0" w:line="240" w:lineRule="auto"/>
              <w:jc w:val="right"/>
            </w:pPr>
            <w:r>
              <w:rPr>
                <w:b/>
                <w:sz w:val="18"/>
              </w:rPr>
              <w:t>186,1</w:t>
            </w:r>
          </w:p>
        </w:tc>
      </w:tr>
      <w:tr w:rsidR="00E9743F" w14:paraId="6DB7B446" w14:textId="77777777">
        <w:trPr>
          <w:cantSplit/>
          <w:trHeight w:val="560"/>
        </w:trPr>
        <w:tc>
          <w:tcPr>
            <w:tcW w:w="700" w:type="dxa"/>
            <w:tcMar>
              <w:top w:w="0" w:type="dxa"/>
              <w:bottom w:w="0" w:type="dxa"/>
            </w:tcMar>
            <w:vAlign w:val="center"/>
          </w:tcPr>
          <w:p w14:paraId="5520C1CB" w14:textId="77777777" w:rsidR="00E9743F" w:rsidRDefault="00944E32">
            <w:pPr>
              <w:keepNext/>
              <w:keepLines/>
              <w:spacing w:after="0" w:line="240" w:lineRule="auto"/>
            </w:pPr>
            <w:r>
              <w:rPr>
                <w:sz w:val="18"/>
              </w:rPr>
              <w:t>8</w:t>
            </w:r>
          </w:p>
        </w:tc>
        <w:tc>
          <w:tcPr>
            <w:tcW w:w="3180" w:type="dxa"/>
            <w:tcMar>
              <w:top w:w="0" w:type="dxa"/>
              <w:bottom w:w="0" w:type="dxa"/>
            </w:tcMar>
            <w:vAlign w:val="center"/>
          </w:tcPr>
          <w:p w14:paraId="64B76894" w14:textId="77777777" w:rsidR="00E9743F" w:rsidRDefault="00944E32">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6B33DBD1" w14:textId="77777777" w:rsidR="00E9743F" w:rsidRDefault="00944E32">
            <w:pPr>
              <w:keepNext/>
              <w:keepLines/>
              <w:spacing w:after="0" w:line="240" w:lineRule="auto"/>
            </w:pPr>
            <w:r>
              <w:rPr>
                <w:sz w:val="18"/>
              </w:rPr>
              <w:t>8</w:t>
            </w:r>
          </w:p>
        </w:tc>
        <w:tc>
          <w:tcPr>
            <w:tcW w:w="1860" w:type="dxa"/>
            <w:tcMar>
              <w:top w:w="0" w:type="dxa"/>
              <w:bottom w:w="0" w:type="dxa"/>
            </w:tcMar>
            <w:vAlign w:val="center"/>
          </w:tcPr>
          <w:p w14:paraId="3F84C9E7" w14:textId="77777777" w:rsidR="00E9743F" w:rsidRDefault="00944E32">
            <w:pPr>
              <w:keepNext/>
              <w:keepLines/>
              <w:spacing w:after="0" w:line="240" w:lineRule="auto"/>
              <w:jc w:val="right"/>
            </w:pPr>
            <w:r>
              <w:rPr>
                <w:sz w:val="18"/>
              </w:rPr>
              <w:t>0,00</w:t>
            </w:r>
          </w:p>
        </w:tc>
        <w:tc>
          <w:tcPr>
            <w:tcW w:w="1860" w:type="dxa"/>
            <w:tcMar>
              <w:top w:w="0" w:type="dxa"/>
              <w:bottom w:w="0" w:type="dxa"/>
            </w:tcMar>
            <w:vAlign w:val="center"/>
          </w:tcPr>
          <w:p w14:paraId="644268D3" w14:textId="77777777" w:rsidR="00E9743F" w:rsidRDefault="00944E32">
            <w:pPr>
              <w:keepNext/>
              <w:keepLines/>
              <w:spacing w:after="0" w:line="240" w:lineRule="auto"/>
              <w:jc w:val="right"/>
            </w:pPr>
            <w:r>
              <w:rPr>
                <w:sz w:val="18"/>
              </w:rPr>
              <w:t>0,00</w:t>
            </w:r>
          </w:p>
        </w:tc>
        <w:tc>
          <w:tcPr>
            <w:tcW w:w="700" w:type="dxa"/>
            <w:tcMar>
              <w:top w:w="0" w:type="dxa"/>
              <w:bottom w:w="0" w:type="dxa"/>
            </w:tcMar>
            <w:vAlign w:val="center"/>
          </w:tcPr>
          <w:p w14:paraId="62BC528C" w14:textId="77777777" w:rsidR="00E9743F" w:rsidRDefault="00944E32">
            <w:pPr>
              <w:keepNext/>
              <w:keepLines/>
              <w:spacing w:after="0" w:line="240" w:lineRule="auto"/>
              <w:jc w:val="right"/>
            </w:pPr>
            <w:r>
              <w:rPr>
                <w:sz w:val="18"/>
              </w:rPr>
              <w:t>-</w:t>
            </w:r>
          </w:p>
        </w:tc>
      </w:tr>
      <w:tr w:rsidR="00E9743F" w14:paraId="72FDC806" w14:textId="77777777">
        <w:trPr>
          <w:cantSplit/>
          <w:trHeight w:val="560"/>
        </w:trPr>
        <w:tc>
          <w:tcPr>
            <w:tcW w:w="700" w:type="dxa"/>
            <w:tcMar>
              <w:top w:w="0" w:type="dxa"/>
              <w:bottom w:w="0" w:type="dxa"/>
            </w:tcMar>
            <w:vAlign w:val="center"/>
          </w:tcPr>
          <w:p w14:paraId="3B8BE574" w14:textId="77777777" w:rsidR="00E9743F" w:rsidRDefault="00944E32">
            <w:pPr>
              <w:keepNext/>
              <w:keepLines/>
              <w:spacing w:after="0" w:line="240" w:lineRule="auto"/>
            </w:pPr>
            <w:r>
              <w:rPr>
                <w:sz w:val="18"/>
              </w:rPr>
              <w:t>5</w:t>
            </w:r>
          </w:p>
        </w:tc>
        <w:tc>
          <w:tcPr>
            <w:tcW w:w="3180" w:type="dxa"/>
            <w:tcMar>
              <w:top w:w="0" w:type="dxa"/>
              <w:bottom w:w="0" w:type="dxa"/>
            </w:tcMar>
            <w:vAlign w:val="center"/>
          </w:tcPr>
          <w:p w14:paraId="00EE6F15" w14:textId="77777777" w:rsidR="00E9743F" w:rsidRDefault="00944E32">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5628273C" w14:textId="77777777" w:rsidR="00E9743F" w:rsidRDefault="00944E32">
            <w:pPr>
              <w:keepNext/>
              <w:keepLines/>
              <w:spacing w:after="0" w:line="240" w:lineRule="auto"/>
            </w:pPr>
            <w:r>
              <w:rPr>
                <w:sz w:val="18"/>
              </w:rPr>
              <w:t>5</w:t>
            </w:r>
          </w:p>
        </w:tc>
        <w:tc>
          <w:tcPr>
            <w:tcW w:w="1860" w:type="dxa"/>
            <w:tcMar>
              <w:top w:w="0" w:type="dxa"/>
              <w:bottom w:w="0" w:type="dxa"/>
            </w:tcMar>
            <w:vAlign w:val="center"/>
          </w:tcPr>
          <w:p w14:paraId="5D7601E3" w14:textId="77777777" w:rsidR="00E9743F" w:rsidRDefault="00944E32">
            <w:pPr>
              <w:keepNext/>
              <w:keepLines/>
              <w:spacing w:after="0" w:line="240" w:lineRule="auto"/>
              <w:jc w:val="right"/>
            </w:pPr>
            <w:r>
              <w:rPr>
                <w:sz w:val="18"/>
              </w:rPr>
              <w:t>0,00</w:t>
            </w:r>
          </w:p>
        </w:tc>
        <w:tc>
          <w:tcPr>
            <w:tcW w:w="1860" w:type="dxa"/>
            <w:tcMar>
              <w:top w:w="0" w:type="dxa"/>
              <w:bottom w:w="0" w:type="dxa"/>
            </w:tcMar>
            <w:vAlign w:val="center"/>
          </w:tcPr>
          <w:p w14:paraId="133345A6" w14:textId="77777777" w:rsidR="00E9743F" w:rsidRDefault="00944E32">
            <w:pPr>
              <w:keepNext/>
              <w:keepLines/>
              <w:spacing w:after="0" w:line="240" w:lineRule="auto"/>
              <w:jc w:val="right"/>
            </w:pPr>
            <w:r>
              <w:rPr>
                <w:sz w:val="18"/>
              </w:rPr>
              <w:t>0,00</w:t>
            </w:r>
          </w:p>
        </w:tc>
        <w:tc>
          <w:tcPr>
            <w:tcW w:w="700" w:type="dxa"/>
            <w:tcMar>
              <w:top w:w="0" w:type="dxa"/>
              <w:bottom w:w="0" w:type="dxa"/>
            </w:tcMar>
            <w:vAlign w:val="center"/>
          </w:tcPr>
          <w:p w14:paraId="31039F29" w14:textId="77777777" w:rsidR="00E9743F" w:rsidRDefault="00944E32">
            <w:pPr>
              <w:keepNext/>
              <w:keepLines/>
              <w:spacing w:after="0" w:line="240" w:lineRule="auto"/>
              <w:jc w:val="right"/>
            </w:pPr>
            <w:r>
              <w:rPr>
                <w:sz w:val="18"/>
              </w:rPr>
              <w:t>-</w:t>
            </w:r>
          </w:p>
        </w:tc>
      </w:tr>
      <w:tr w:rsidR="00E9743F" w14:paraId="437B592E" w14:textId="77777777">
        <w:trPr>
          <w:cantSplit/>
          <w:trHeight w:val="560"/>
        </w:trPr>
        <w:tc>
          <w:tcPr>
            <w:tcW w:w="700" w:type="dxa"/>
            <w:tcMar>
              <w:top w:w="0" w:type="dxa"/>
              <w:bottom w:w="0" w:type="dxa"/>
            </w:tcMar>
            <w:vAlign w:val="center"/>
          </w:tcPr>
          <w:p w14:paraId="0CEF901C" w14:textId="77777777" w:rsidR="00E9743F" w:rsidRDefault="00E9743F">
            <w:pPr>
              <w:keepNext/>
              <w:keepLines/>
              <w:spacing w:after="0" w:line="240" w:lineRule="auto"/>
            </w:pPr>
          </w:p>
        </w:tc>
        <w:tc>
          <w:tcPr>
            <w:tcW w:w="3180" w:type="dxa"/>
            <w:tcMar>
              <w:top w:w="0" w:type="dxa"/>
              <w:bottom w:w="0" w:type="dxa"/>
            </w:tcMar>
            <w:vAlign w:val="center"/>
          </w:tcPr>
          <w:p w14:paraId="5D783473" w14:textId="77777777" w:rsidR="00E9743F" w:rsidRDefault="00944E32">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6780F50B" w14:textId="77777777" w:rsidR="00E9743F" w:rsidRDefault="00944E32">
            <w:pPr>
              <w:keepNext/>
              <w:keepLines/>
              <w:spacing w:after="0" w:line="240" w:lineRule="auto"/>
            </w:pPr>
            <w:r>
              <w:rPr>
                <w:b/>
                <w:sz w:val="18"/>
              </w:rPr>
              <w:t>X003, Y003</w:t>
            </w:r>
          </w:p>
        </w:tc>
        <w:tc>
          <w:tcPr>
            <w:tcW w:w="1860" w:type="dxa"/>
            <w:tcMar>
              <w:top w:w="0" w:type="dxa"/>
              <w:bottom w:w="0" w:type="dxa"/>
            </w:tcMar>
            <w:vAlign w:val="center"/>
          </w:tcPr>
          <w:p w14:paraId="59459BF5" w14:textId="77777777" w:rsidR="00E9743F" w:rsidRDefault="00944E32">
            <w:pPr>
              <w:keepNext/>
              <w:keepLines/>
              <w:spacing w:after="0" w:line="240" w:lineRule="auto"/>
              <w:jc w:val="right"/>
            </w:pPr>
            <w:r>
              <w:rPr>
                <w:b/>
                <w:sz w:val="18"/>
              </w:rPr>
              <w:t>0,00</w:t>
            </w:r>
          </w:p>
        </w:tc>
        <w:tc>
          <w:tcPr>
            <w:tcW w:w="1860" w:type="dxa"/>
            <w:tcMar>
              <w:top w:w="0" w:type="dxa"/>
              <w:bottom w:w="0" w:type="dxa"/>
            </w:tcMar>
            <w:vAlign w:val="center"/>
          </w:tcPr>
          <w:p w14:paraId="5E7CF499" w14:textId="77777777" w:rsidR="00E9743F" w:rsidRDefault="00944E32">
            <w:pPr>
              <w:keepNext/>
              <w:keepLines/>
              <w:spacing w:after="0" w:line="240" w:lineRule="auto"/>
              <w:jc w:val="right"/>
            </w:pPr>
            <w:r>
              <w:rPr>
                <w:b/>
                <w:sz w:val="18"/>
              </w:rPr>
              <w:t>0,00</w:t>
            </w:r>
          </w:p>
        </w:tc>
        <w:tc>
          <w:tcPr>
            <w:tcW w:w="700" w:type="dxa"/>
            <w:tcMar>
              <w:top w:w="0" w:type="dxa"/>
              <w:bottom w:w="0" w:type="dxa"/>
            </w:tcMar>
            <w:vAlign w:val="center"/>
          </w:tcPr>
          <w:p w14:paraId="7AC06F50" w14:textId="77777777" w:rsidR="00E9743F" w:rsidRDefault="00944E32">
            <w:pPr>
              <w:keepNext/>
              <w:keepLines/>
              <w:spacing w:after="0" w:line="240" w:lineRule="auto"/>
              <w:jc w:val="right"/>
            </w:pPr>
            <w:r>
              <w:rPr>
                <w:b/>
                <w:sz w:val="18"/>
              </w:rPr>
              <w:t>-</w:t>
            </w:r>
          </w:p>
        </w:tc>
      </w:tr>
      <w:tr w:rsidR="00E9743F" w14:paraId="5E8A2FC0" w14:textId="77777777">
        <w:trPr>
          <w:cantSplit/>
          <w:trHeight w:val="560"/>
        </w:trPr>
        <w:tc>
          <w:tcPr>
            <w:tcW w:w="700" w:type="dxa"/>
            <w:tcMar>
              <w:top w:w="0" w:type="dxa"/>
              <w:bottom w:w="0" w:type="dxa"/>
            </w:tcMar>
            <w:vAlign w:val="center"/>
          </w:tcPr>
          <w:p w14:paraId="6E192322" w14:textId="77777777" w:rsidR="00E9743F" w:rsidRDefault="00E9743F">
            <w:pPr>
              <w:keepNext/>
              <w:keepLines/>
              <w:spacing w:after="0" w:line="240" w:lineRule="auto"/>
            </w:pPr>
          </w:p>
        </w:tc>
        <w:tc>
          <w:tcPr>
            <w:tcW w:w="3180" w:type="dxa"/>
            <w:tcMar>
              <w:top w:w="0" w:type="dxa"/>
              <w:bottom w:w="0" w:type="dxa"/>
            </w:tcMar>
            <w:vAlign w:val="center"/>
          </w:tcPr>
          <w:p w14:paraId="5565BEFE" w14:textId="77777777" w:rsidR="00E9743F" w:rsidRDefault="00944E32">
            <w:pPr>
              <w:keepNext/>
              <w:keepLines/>
              <w:spacing w:after="0" w:line="240" w:lineRule="auto"/>
            </w:pPr>
            <w:r>
              <w:rPr>
                <w:b/>
                <w:sz w:val="18"/>
              </w:rPr>
              <w:t>MANJAK PRIHODA I PRIMITAKA (šifre Y345-X678)</w:t>
            </w:r>
          </w:p>
        </w:tc>
        <w:tc>
          <w:tcPr>
            <w:tcW w:w="700" w:type="dxa"/>
            <w:tcMar>
              <w:top w:w="0" w:type="dxa"/>
              <w:bottom w:w="0" w:type="dxa"/>
            </w:tcMar>
            <w:vAlign w:val="center"/>
          </w:tcPr>
          <w:p w14:paraId="3B5D08FD" w14:textId="77777777" w:rsidR="00E9743F" w:rsidRDefault="00944E32">
            <w:pPr>
              <w:keepNext/>
              <w:keepLines/>
              <w:spacing w:after="0" w:line="240" w:lineRule="auto"/>
            </w:pPr>
            <w:r>
              <w:rPr>
                <w:b/>
                <w:sz w:val="18"/>
              </w:rPr>
              <w:t>Y005</w:t>
            </w:r>
          </w:p>
        </w:tc>
        <w:tc>
          <w:tcPr>
            <w:tcW w:w="1860" w:type="dxa"/>
            <w:tcMar>
              <w:top w:w="0" w:type="dxa"/>
              <w:bottom w:w="0" w:type="dxa"/>
            </w:tcMar>
            <w:vAlign w:val="center"/>
          </w:tcPr>
          <w:p w14:paraId="7B2EAF44" w14:textId="77777777" w:rsidR="00E9743F" w:rsidRDefault="00944E32">
            <w:pPr>
              <w:keepNext/>
              <w:keepLines/>
              <w:spacing w:after="0" w:line="240" w:lineRule="auto"/>
              <w:jc w:val="right"/>
            </w:pPr>
            <w:r>
              <w:rPr>
                <w:b/>
                <w:sz w:val="18"/>
              </w:rPr>
              <w:t>0,00</w:t>
            </w:r>
          </w:p>
        </w:tc>
        <w:tc>
          <w:tcPr>
            <w:tcW w:w="1860" w:type="dxa"/>
            <w:tcMar>
              <w:top w:w="0" w:type="dxa"/>
              <w:bottom w:w="0" w:type="dxa"/>
            </w:tcMar>
            <w:vAlign w:val="center"/>
          </w:tcPr>
          <w:p w14:paraId="4906D058" w14:textId="77777777" w:rsidR="00E9743F" w:rsidRDefault="00944E32">
            <w:pPr>
              <w:keepNext/>
              <w:keepLines/>
              <w:spacing w:after="0" w:line="240" w:lineRule="auto"/>
              <w:jc w:val="right"/>
            </w:pPr>
            <w:r>
              <w:rPr>
                <w:b/>
                <w:sz w:val="18"/>
              </w:rPr>
              <w:t>504.303,54</w:t>
            </w:r>
          </w:p>
        </w:tc>
        <w:tc>
          <w:tcPr>
            <w:tcW w:w="700" w:type="dxa"/>
            <w:tcMar>
              <w:top w:w="0" w:type="dxa"/>
              <w:bottom w:w="0" w:type="dxa"/>
            </w:tcMar>
            <w:vAlign w:val="center"/>
          </w:tcPr>
          <w:p w14:paraId="25739790" w14:textId="77777777" w:rsidR="00E9743F" w:rsidRDefault="00944E32">
            <w:pPr>
              <w:keepNext/>
              <w:keepLines/>
              <w:spacing w:after="0" w:line="240" w:lineRule="auto"/>
              <w:jc w:val="right"/>
            </w:pPr>
            <w:r>
              <w:rPr>
                <w:b/>
                <w:sz w:val="18"/>
              </w:rPr>
              <w:t>-</w:t>
            </w:r>
          </w:p>
        </w:tc>
      </w:tr>
    </w:tbl>
    <w:p w14:paraId="7656BAAE" w14:textId="77777777" w:rsidR="00E9743F" w:rsidRDefault="00E9743F">
      <w:pPr>
        <w:spacing w:after="0"/>
      </w:pPr>
    </w:p>
    <w:p w14:paraId="78448E8F" w14:textId="77777777" w:rsidR="00E9743F" w:rsidRDefault="00944E32">
      <w:pPr>
        <w:jc w:val="both"/>
      </w:pPr>
      <w:r>
        <w:t xml:space="preserve">Ukupni manjak prihoda iskazan je u iznosu od 504.303,54 eura kao posljedica izmjene Pravilnika o proračunskom računovodstvu u kojem je propisano ukidanje podskupine računa 193 </w:t>
      </w:r>
      <w:r>
        <w:lastRenderedPageBreak/>
        <w:t>Kontinuirani rashodi budućih razdoblja. Navedena izmjena ima za posljedicu knjiženje rashoda plaće za prosinac 2025. odnosno ukupno 13 rashoda za plaće u izvještajnom razdoblju.</w:t>
      </w:r>
    </w:p>
    <w:p w14:paraId="791DECC5" w14:textId="77777777" w:rsidR="00E9743F" w:rsidRDefault="00944E32">
      <w:pPr>
        <w:jc w:val="both"/>
      </w:pPr>
      <w:r>
        <w:t>Iz naših detaljnih analiza vidljivo je da je ostvaren višak u bilancama vlastite djelatnosti (izvor 31) i EU projekata (izvor 51) u iznosu od 216.128,35 eura. Nadalje, bilježimo višak u bilancama sredstava posebne namjene u iznosu od 86.902,03 eura, kao i višak u bilancama EU projekata financiranih iz fonda Nacionalnog plana za oporavak i otpornost - NPOO u iznosu od 249.521,61 eura. Ostvareni su manjkovi u bilancama znanosti u iznosu od 32.724,74 eura, u bilanci EU-socijalni fond u iznosu od 13.569,24 eura, te u bilancama ostalih pomoći u iznosu od 21.557,51 eura. Gore navedeni manjkovi su pokriveni kumuliranim prenesenim sredstvima navedenih izvora. Manjak na bilancama donacija (izvor 61) u iznosu od 157.197,89 eura rezultat je predfinanciranja EU projekata. Manjak na redovnoj djelatnosti (izvor 11) u iznosu od 812.240,53 eura prvenstveno je posljedica izmjene Pravilnika o proračunskom računovodstvu u kojem je propisano ukidanje podskupine računa 193 Kontinuirani rashodi budućih razdoblja.</w:t>
      </w:r>
    </w:p>
    <w:p w14:paraId="0C114645" w14:textId="77777777" w:rsidR="00E9743F" w:rsidRDefault="00944E32">
      <w:r>
        <w:br/>
      </w:r>
    </w:p>
    <w:p w14:paraId="0DC16C8F" w14:textId="77777777" w:rsidR="00E9743F" w:rsidRDefault="00944E32">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743F" w14:paraId="4DBBA1DA" w14:textId="77777777">
        <w:trPr>
          <w:cantSplit/>
        </w:trPr>
        <w:tc>
          <w:tcPr>
            <w:tcW w:w="700" w:type="dxa"/>
            <w:shd w:val="clear" w:color="auto" w:fill="E7F0F9"/>
            <w:tcMar>
              <w:top w:w="0" w:type="dxa"/>
              <w:bottom w:w="0" w:type="dxa"/>
            </w:tcMar>
            <w:vAlign w:val="center"/>
          </w:tcPr>
          <w:p w14:paraId="506E52DC" w14:textId="77777777" w:rsidR="00E9743F" w:rsidRDefault="00944E32">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36DA281" w14:textId="77777777" w:rsidR="00E9743F" w:rsidRDefault="00944E3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000DE0" w14:textId="77777777" w:rsidR="00E9743F" w:rsidRDefault="00944E3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210A23" w14:textId="77777777" w:rsidR="00E9743F" w:rsidRDefault="00944E3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8ED0A9" w14:textId="77777777" w:rsidR="00E9743F" w:rsidRDefault="00944E3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E7A542" w14:textId="77777777" w:rsidR="00E9743F" w:rsidRDefault="00944E32">
            <w:pPr>
              <w:keepNext/>
              <w:keepLines/>
              <w:spacing w:after="0" w:line="240" w:lineRule="auto"/>
              <w:jc w:val="center"/>
            </w:pPr>
            <w:r>
              <w:rPr>
                <w:b/>
                <w:sz w:val="18"/>
              </w:rPr>
              <w:t>Indeks (%)</w:t>
            </w:r>
          </w:p>
        </w:tc>
      </w:tr>
      <w:tr w:rsidR="00E9743F" w14:paraId="508237CC" w14:textId="77777777">
        <w:trPr>
          <w:cantSplit/>
          <w:trHeight w:val="560"/>
        </w:trPr>
        <w:tc>
          <w:tcPr>
            <w:tcW w:w="700" w:type="dxa"/>
            <w:tcMar>
              <w:top w:w="0" w:type="dxa"/>
              <w:bottom w:w="0" w:type="dxa"/>
            </w:tcMar>
            <w:vAlign w:val="center"/>
          </w:tcPr>
          <w:p w14:paraId="323D0FF9" w14:textId="77777777" w:rsidR="00E9743F" w:rsidRDefault="00944E32">
            <w:pPr>
              <w:keepNext/>
              <w:keepLines/>
              <w:spacing w:after="0" w:line="240" w:lineRule="auto"/>
            </w:pPr>
            <w:r>
              <w:rPr>
                <w:sz w:val="18"/>
              </w:rPr>
              <w:t>65</w:t>
            </w:r>
          </w:p>
        </w:tc>
        <w:tc>
          <w:tcPr>
            <w:tcW w:w="3180" w:type="dxa"/>
            <w:tcMar>
              <w:top w:w="0" w:type="dxa"/>
              <w:bottom w:w="0" w:type="dxa"/>
            </w:tcMar>
            <w:vAlign w:val="center"/>
          </w:tcPr>
          <w:p w14:paraId="6B9A8CE2" w14:textId="77777777" w:rsidR="00E9743F" w:rsidRDefault="00944E32">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231BBA9B" w14:textId="77777777" w:rsidR="00E9743F" w:rsidRDefault="00944E32">
            <w:pPr>
              <w:keepNext/>
              <w:keepLines/>
              <w:spacing w:after="0" w:line="240" w:lineRule="auto"/>
            </w:pPr>
            <w:r>
              <w:rPr>
                <w:sz w:val="18"/>
              </w:rPr>
              <w:t>65</w:t>
            </w:r>
          </w:p>
        </w:tc>
        <w:tc>
          <w:tcPr>
            <w:tcW w:w="1860" w:type="dxa"/>
            <w:tcMar>
              <w:top w:w="0" w:type="dxa"/>
              <w:bottom w:w="0" w:type="dxa"/>
            </w:tcMar>
            <w:vAlign w:val="center"/>
          </w:tcPr>
          <w:p w14:paraId="79D29390" w14:textId="77777777" w:rsidR="00E9743F" w:rsidRDefault="00944E32">
            <w:pPr>
              <w:keepNext/>
              <w:keepLines/>
              <w:spacing w:after="0" w:line="240" w:lineRule="auto"/>
              <w:jc w:val="right"/>
            </w:pPr>
            <w:r>
              <w:rPr>
                <w:sz w:val="18"/>
              </w:rPr>
              <w:t>834.174,15</w:t>
            </w:r>
          </w:p>
        </w:tc>
        <w:tc>
          <w:tcPr>
            <w:tcW w:w="1860" w:type="dxa"/>
            <w:tcMar>
              <w:top w:w="0" w:type="dxa"/>
              <w:bottom w:w="0" w:type="dxa"/>
            </w:tcMar>
            <w:vAlign w:val="center"/>
          </w:tcPr>
          <w:p w14:paraId="1E73F18D" w14:textId="77777777" w:rsidR="00E9743F" w:rsidRDefault="00944E32">
            <w:pPr>
              <w:keepNext/>
              <w:keepLines/>
              <w:spacing w:after="0" w:line="240" w:lineRule="auto"/>
              <w:jc w:val="right"/>
            </w:pPr>
            <w:r>
              <w:rPr>
                <w:sz w:val="18"/>
              </w:rPr>
              <w:t>906.316,50</w:t>
            </w:r>
          </w:p>
        </w:tc>
        <w:tc>
          <w:tcPr>
            <w:tcW w:w="700" w:type="dxa"/>
            <w:tcMar>
              <w:top w:w="0" w:type="dxa"/>
              <w:bottom w:w="0" w:type="dxa"/>
            </w:tcMar>
            <w:vAlign w:val="center"/>
          </w:tcPr>
          <w:p w14:paraId="610679F9" w14:textId="77777777" w:rsidR="00E9743F" w:rsidRDefault="00944E32">
            <w:pPr>
              <w:keepNext/>
              <w:keepLines/>
              <w:spacing w:after="0" w:line="240" w:lineRule="auto"/>
              <w:jc w:val="right"/>
            </w:pPr>
            <w:r>
              <w:rPr>
                <w:sz w:val="18"/>
              </w:rPr>
              <w:t>108,6</w:t>
            </w:r>
          </w:p>
        </w:tc>
      </w:tr>
    </w:tbl>
    <w:p w14:paraId="2EA36DFE" w14:textId="77777777" w:rsidR="00E9743F" w:rsidRDefault="00E9743F">
      <w:pPr>
        <w:spacing w:after="0"/>
      </w:pPr>
    </w:p>
    <w:p w14:paraId="4EBF7DCB" w14:textId="77777777" w:rsidR="00E9743F" w:rsidRDefault="00944E32">
      <w:pPr>
        <w:jc w:val="both"/>
      </w:pPr>
      <w:r>
        <w:t>Prihodi od prikupljenih školarina od studenata u odnosu na prethodnu godinu povećani su za 8,6%. Iako su financijska pravila za upis i broj studenata koji plaća participaciju ostali skoro nepromijenjeni, povećani prihodi su rezultat slabije uspješnosti studenata. Naime, u strukturi plaćanja znatno veći broj studenata plaća punu participaciju.</w:t>
      </w:r>
    </w:p>
    <w:p w14:paraId="2349AA64" w14:textId="77777777" w:rsidR="00E9743F" w:rsidRDefault="00E9743F"/>
    <w:p w14:paraId="5C1A8968" w14:textId="77777777" w:rsidR="00E9743F" w:rsidRDefault="00944E32">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743F" w14:paraId="4B1FCB1B" w14:textId="77777777">
        <w:trPr>
          <w:cantSplit/>
        </w:trPr>
        <w:tc>
          <w:tcPr>
            <w:tcW w:w="700" w:type="dxa"/>
            <w:shd w:val="clear" w:color="auto" w:fill="E7F0F9"/>
            <w:tcMar>
              <w:top w:w="0" w:type="dxa"/>
              <w:bottom w:w="0" w:type="dxa"/>
            </w:tcMar>
            <w:vAlign w:val="center"/>
          </w:tcPr>
          <w:p w14:paraId="011634C6" w14:textId="77777777" w:rsidR="00E9743F" w:rsidRDefault="00944E32">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BF3492D" w14:textId="77777777" w:rsidR="00E9743F" w:rsidRDefault="00944E3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4B147F" w14:textId="77777777" w:rsidR="00E9743F" w:rsidRDefault="00944E3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5E2694" w14:textId="77777777" w:rsidR="00E9743F" w:rsidRDefault="00944E3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FAB875" w14:textId="77777777" w:rsidR="00E9743F" w:rsidRDefault="00944E3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833F4A" w14:textId="77777777" w:rsidR="00E9743F" w:rsidRDefault="00944E32">
            <w:pPr>
              <w:keepNext/>
              <w:keepLines/>
              <w:spacing w:after="0" w:line="240" w:lineRule="auto"/>
              <w:jc w:val="center"/>
            </w:pPr>
            <w:r>
              <w:rPr>
                <w:b/>
                <w:sz w:val="18"/>
              </w:rPr>
              <w:t>Indeks (%)</w:t>
            </w:r>
          </w:p>
        </w:tc>
      </w:tr>
      <w:tr w:rsidR="00E9743F" w14:paraId="1B5AD44C" w14:textId="77777777">
        <w:trPr>
          <w:cantSplit/>
          <w:trHeight w:val="560"/>
        </w:trPr>
        <w:tc>
          <w:tcPr>
            <w:tcW w:w="700" w:type="dxa"/>
            <w:tcMar>
              <w:top w:w="0" w:type="dxa"/>
              <w:bottom w:w="0" w:type="dxa"/>
            </w:tcMar>
            <w:vAlign w:val="center"/>
          </w:tcPr>
          <w:p w14:paraId="1DBFA0C1" w14:textId="77777777" w:rsidR="00E9743F" w:rsidRDefault="00944E32">
            <w:pPr>
              <w:keepNext/>
              <w:keepLines/>
              <w:spacing w:after="0" w:line="240" w:lineRule="auto"/>
            </w:pPr>
            <w:r>
              <w:rPr>
                <w:sz w:val="18"/>
              </w:rPr>
              <w:t>67</w:t>
            </w:r>
          </w:p>
        </w:tc>
        <w:tc>
          <w:tcPr>
            <w:tcW w:w="3180" w:type="dxa"/>
            <w:tcMar>
              <w:top w:w="0" w:type="dxa"/>
              <w:bottom w:w="0" w:type="dxa"/>
            </w:tcMar>
            <w:vAlign w:val="center"/>
          </w:tcPr>
          <w:p w14:paraId="5B86CCB3" w14:textId="77777777" w:rsidR="00E9743F" w:rsidRDefault="00944E32">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14:paraId="5D67DEE5" w14:textId="77777777" w:rsidR="00E9743F" w:rsidRDefault="00944E32">
            <w:pPr>
              <w:keepNext/>
              <w:keepLines/>
              <w:spacing w:after="0" w:line="240" w:lineRule="auto"/>
            </w:pPr>
            <w:r>
              <w:rPr>
                <w:sz w:val="18"/>
              </w:rPr>
              <w:t>67</w:t>
            </w:r>
          </w:p>
        </w:tc>
        <w:tc>
          <w:tcPr>
            <w:tcW w:w="1860" w:type="dxa"/>
            <w:tcMar>
              <w:top w:w="0" w:type="dxa"/>
              <w:bottom w:w="0" w:type="dxa"/>
            </w:tcMar>
            <w:vAlign w:val="center"/>
          </w:tcPr>
          <w:p w14:paraId="74DED84C" w14:textId="77777777" w:rsidR="00E9743F" w:rsidRDefault="00944E32">
            <w:pPr>
              <w:keepNext/>
              <w:keepLines/>
              <w:spacing w:after="0" w:line="240" w:lineRule="auto"/>
              <w:jc w:val="right"/>
            </w:pPr>
            <w:r>
              <w:rPr>
                <w:sz w:val="18"/>
              </w:rPr>
              <w:t>9.790.614,60</w:t>
            </w:r>
          </w:p>
        </w:tc>
        <w:tc>
          <w:tcPr>
            <w:tcW w:w="1860" w:type="dxa"/>
            <w:tcMar>
              <w:top w:w="0" w:type="dxa"/>
              <w:bottom w:w="0" w:type="dxa"/>
            </w:tcMar>
            <w:vAlign w:val="center"/>
          </w:tcPr>
          <w:p w14:paraId="241CC509" w14:textId="77777777" w:rsidR="00E9743F" w:rsidRDefault="00944E32">
            <w:pPr>
              <w:keepNext/>
              <w:keepLines/>
              <w:spacing w:after="0" w:line="240" w:lineRule="auto"/>
              <w:jc w:val="right"/>
            </w:pPr>
            <w:r>
              <w:rPr>
                <w:sz w:val="18"/>
              </w:rPr>
              <w:t>10.764.361,82</w:t>
            </w:r>
          </w:p>
        </w:tc>
        <w:tc>
          <w:tcPr>
            <w:tcW w:w="700" w:type="dxa"/>
            <w:tcMar>
              <w:top w:w="0" w:type="dxa"/>
              <w:bottom w:w="0" w:type="dxa"/>
            </w:tcMar>
            <w:vAlign w:val="center"/>
          </w:tcPr>
          <w:p w14:paraId="7EBFB39F" w14:textId="77777777" w:rsidR="00E9743F" w:rsidRDefault="00944E32">
            <w:pPr>
              <w:keepNext/>
              <w:keepLines/>
              <w:spacing w:after="0" w:line="240" w:lineRule="auto"/>
              <w:jc w:val="right"/>
            </w:pPr>
            <w:r>
              <w:rPr>
                <w:sz w:val="18"/>
              </w:rPr>
              <w:t>109,9</w:t>
            </w:r>
          </w:p>
        </w:tc>
      </w:tr>
    </w:tbl>
    <w:p w14:paraId="068F3311" w14:textId="77777777" w:rsidR="00E9743F" w:rsidRDefault="00E9743F">
      <w:pPr>
        <w:spacing w:after="0"/>
      </w:pPr>
    </w:p>
    <w:p w14:paraId="3EA6C348" w14:textId="77777777" w:rsidR="00E9743F" w:rsidRDefault="00944E32">
      <w:pPr>
        <w:jc w:val="both"/>
      </w:pPr>
      <w:r>
        <w:t xml:space="preserve">Za izvještajno razdoblje ostvareni prihodi su u odnosu na prethodnu godinu su na 109,9 indeksna boda. Navedeno povećanje prvenstveno je rezultat sporazuma Vlade RH i Sindikata znanosti i visokog obrazovanja o povećanju osnovice plaće za javne službenike za 3% od veljače i dodatnih 3% od rujna. Također, zbog primjene novog instrumenta javnog financiranja znanstvenih ustanova bilježimo povećana ulaganja iz Nacionalnog plana oporavka i otpornosti (NPOO) za 9 </w:t>
      </w:r>
      <w:r>
        <w:lastRenderedPageBreak/>
        <w:t>institucijskih projekata, kao i  veće prihode u sklopu 3 projekta NPOO poziva - Dokazivanje inovativnog koncepta.</w:t>
      </w:r>
    </w:p>
    <w:p w14:paraId="1E9E6C29" w14:textId="77777777" w:rsidR="00E9743F" w:rsidRDefault="00E9743F"/>
    <w:p w14:paraId="3EA833EA" w14:textId="77777777" w:rsidR="00E9743F" w:rsidRDefault="00944E32">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743F" w14:paraId="334D6AB2" w14:textId="77777777">
        <w:trPr>
          <w:cantSplit/>
        </w:trPr>
        <w:tc>
          <w:tcPr>
            <w:tcW w:w="700" w:type="dxa"/>
            <w:shd w:val="clear" w:color="auto" w:fill="E7F0F9"/>
            <w:tcMar>
              <w:top w:w="0" w:type="dxa"/>
              <w:bottom w:w="0" w:type="dxa"/>
            </w:tcMar>
            <w:vAlign w:val="center"/>
          </w:tcPr>
          <w:p w14:paraId="55DC7BBD" w14:textId="77777777" w:rsidR="00E9743F" w:rsidRDefault="00944E32">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683D270" w14:textId="77777777" w:rsidR="00E9743F" w:rsidRDefault="00944E3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2CBED3" w14:textId="77777777" w:rsidR="00E9743F" w:rsidRDefault="00944E3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A1579A" w14:textId="77777777" w:rsidR="00E9743F" w:rsidRDefault="00944E3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AA9C90" w14:textId="77777777" w:rsidR="00E9743F" w:rsidRDefault="00944E3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4536A1" w14:textId="77777777" w:rsidR="00E9743F" w:rsidRDefault="00944E32">
            <w:pPr>
              <w:keepNext/>
              <w:keepLines/>
              <w:spacing w:after="0" w:line="240" w:lineRule="auto"/>
              <w:jc w:val="center"/>
            </w:pPr>
            <w:r>
              <w:rPr>
                <w:b/>
                <w:sz w:val="18"/>
              </w:rPr>
              <w:t>Indeks (%)</w:t>
            </w:r>
          </w:p>
        </w:tc>
      </w:tr>
      <w:tr w:rsidR="00E9743F" w14:paraId="0F053A21" w14:textId="77777777">
        <w:trPr>
          <w:cantSplit/>
          <w:trHeight w:val="560"/>
        </w:trPr>
        <w:tc>
          <w:tcPr>
            <w:tcW w:w="700" w:type="dxa"/>
            <w:tcMar>
              <w:top w:w="0" w:type="dxa"/>
              <w:bottom w:w="0" w:type="dxa"/>
            </w:tcMar>
            <w:vAlign w:val="center"/>
          </w:tcPr>
          <w:p w14:paraId="3C030EF3" w14:textId="77777777" w:rsidR="00E9743F" w:rsidRDefault="00944E32">
            <w:pPr>
              <w:keepNext/>
              <w:keepLines/>
              <w:spacing w:after="0" w:line="240" w:lineRule="auto"/>
            </w:pPr>
            <w:r>
              <w:rPr>
                <w:sz w:val="18"/>
              </w:rPr>
              <w:t>3232</w:t>
            </w:r>
          </w:p>
        </w:tc>
        <w:tc>
          <w:tcPr>
            <w:tcW w:w="3180" w:type="dxa"/>
            <w:tcMar>
              <w:top w:w="0" w:type="dxa"/>
              <w:bottom w:w="0" w:type="dxa"/>
            </w:tcMar>
            <w:vAlign w:val="center"/>
          </w:tcPr>
          <w:p w14:paraId="5C614369" w14:textId="77777777" w:rsidR="00E9743F" w:rsidRDefault="00944E32">
            <w:pPr>
              <w:keepNext/>
              <w:keepLines/>
              <w:spacing w:after="0" w:line="240" w:lineRule="auto"/>
            </w:pPr>
            <w:r>
              <w:rPr>
                <w:sz w:val="18"/>
              </w:rPr>
              <w:t>Usluge tekućeg i investicijskog održavanja</w:t>
            </w:r>
          </w:p>
        </w:tc>
        <w:tc>
          <w:tcPr>
            <w:tcW w:w="700" w:type="dxa"/>
            <w:tcMar>
              <w:top w:w="0" w:type="dxa"/>
              <w:bottom w:w="0" w:type="dxa"/>
            </w:tcMar>
            <w:vAlign w:val="center"/>
          </w:tcPr>
          <w:p w14:paraId="1A6409C2" w14:textId="77777777" w:rsidR="00E9743F" w:rsidRDefault="00944E32">
            <w:pPr>
              <w:keepNext/>
              <w:keepLines/>
              <w:spacing w:after="0" w:line="240" w:lineRule="auto"/>
            </w:pPr>
            <w:r>
              <w:rPr>
                <w:sz w:val="18"/>
              </w:rPr>
              <w:t>3232</w:t>
            </w:r>
          </w:p>
        </w:tc>
        <w:tc>
          <w:tcPr>
            <w:tcW w:w="1860" w:type="dxa"/>
            <w:tcMar>
              <w:top w:w="0" w:type="dxa"/>
              <w:bottom w:w="0" w:type="dxa"/>
            </w:tcMar>
            <w:vAlign w:val="center"/>
          </w:tcPr>
          <w:p w14:paraId="0AD71F90" w14:textId="77777777" w:rsidR="00E9743F" w:rsidRDefault="00944E32">
            <w:pPr>
              <w:keepNext/>
              <w:keepLines/>
              <w:spacing w:after="0" w:line="240" w:lineRule="auto"/>
              <w:jc w:val="right"/>
            </w:pPr>
            <w:r>
              <w:rPr>
                <w:sz w:val="18"/>
              </w:rPr>
              <w:t>54.453,03</w:t>
            </w:r>
          </w:p>
        </w:tc>
        <w:tc>
          <w:tcPr>
            <w:tcW w:w="1860" w:type="dxa"/>
            <w:tcMar>
              <w:top w:w="0" w:type="dxa"/>
              <w:bottom w:w="0" w:type="dxa"/>
            </w:tcMar>
            <w:vAlign w:val="center"/>
          </w:tcPr>
          <w:p w14:paraId="79E280BF" w14:textId="77777777" w:rsidR="00E9743F" w:rsidRDefault="00944E32">
            <w:pPr>
              <w:keepNext/>
              <w:keepLines/>
              <w:spacing w:after="0" w:line="240" w:lineRule="auto"/>
              <w:jc w:val="right"/>
            </w:pPr>
            <w:r>
              <w:rPr>
                <w:sz w:val="18"/>
              </w:rPr>
              <w:t>125.637,36</w:t>
            </w:r>
          </w:p>
        </w:tc>
        <w:tc>
          <w:tcPr>
            <w:tcW w:w="700" w:type="dxa"/>
            <w:tcMar>
              <w:top w:w="0" w:type="dxa"/>
              <w:bottom w:w="0" w:type="dxa"/>
            </w:tcMar>
            <w:vAlign w:val="center"/>
          </w:tcPr>
          <w:p w14:paraId="01720A63" w14:textId="77777777" w:rsidR="00E9743F" w:rsidRDefault="00944E32">
            <w:pPr>
              <w:keepNext/>
              <w:keepLines/>
              <w:spacing w:after="0" w:line="240" w:lineRule="auto"/>
              <w:jc w:val="right"/>
            </w:pPr>
            <w:r>
              <w:rPr>
                <w:sz w:val="18"/>
              </w:rPr>
              <w:t>230,7</w:t>
            </w:r>
          </w:p>
        </w:tc>
      </w:tr>
    </w:tbl>
    <w:p w14:paraId="5693C660" w14:textId="77777777" w:rsidR="00E9743F" w:rsidRDefault="00E9743F">
      <w:pPr>
        <w:spacing w:after="0"/>
      </w:pPr>
    </w:p>
    <w:p w14:paraId="7E2E33AA" w14:textId="77777777" w:rsidR="00E9743F" w:rsidRDefault="00944E32">
      <w:pPr>
        <w:jc w:val="both"/>
      </w:pPr>
      <w:r>
        <w:t>Značajno povećanje rashoda na poziciji Usluge tekućeg i investicijskog održavanja je rezultat provedbe radova na zgradi fakulteta. Odnosi se na izmjenu vrata i fiksnih ostakljenih stijenki u prizemlju zgrade, ugradnje sustava za kontrolu pristupa i evidenciju radnog vremena RFID karticama, postavljanja keramičkih pločica na drugom katu zgrade, te umjeravanja kidalice.</w:t>
      </w:r>
    </w:p>
    <w:p w14:paraId="4D8100BC" w14:textId="77777777" w:rsidR="00E9743F" w:rsidRDefault="00E9743F"/>
    <w:p w14:paraId="69060F6D" w14:textId="77777777" w:rsidR="00E9743F" w:rsidRDefault="00944E32">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743F" w14:paraId="5B6B3DBE" w14:textId="77777777">
        <w:trPr>
          <w:cantSplit/>
        </w:trPr>
        <w:tc>
          <w:tcPr>
            <w:tcW w:w="700" w:type="dxa"/>
            <w:shd w:val="clear" w:color="auto" w:fill="E7F0F9"/>
            <w:tcMar>
              <w:top w:w="0" w:type="dxa"/>
              <w:bottom w:w="0" w:type="dxa"/>
            </w:tcMar>
            <w:vAlign w:val="center"/>
          </w:tcPr>
          <w:p w14:paraId="288AAE5A" w14:textId="77777777" w:rsidR="00E9743F" w:rsidRDefault="00944E32">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B4F7FCB" w14:textId="77777777" w:rsidR="00E9743F" w:rsidRDefault="00944E3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E68B6D" w14:textId="77777777" w:rsidR="00E9743F" w:rsidRDefault="00944E3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7FB808" w14:textId="77777777" w:rsidR="00E9743F" w:rsidRDefault="00944E3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4C3BFCF" w14:textId="77777777" w:rsidR="00E9743F" w:rsidRDefault="00944E3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A224D2" w14:textId="77777777" w:rsidR="00E9743F" w:rsidRDefault="00944E32">
            <w:pPr>
              <w:keepNext/>
              <w:keepLines/>
              <w:spacing w:after="0" w:line="240" w:lineRule="auto"/>
              <w:jc w:val="center"/>
            </w:pPr>
            <w:r>
              <w:rPr>
                <w:b/>
                <w:sz w:val="18"/>
              </w:rPr>
              <w:t>Indeks (%)</w:t>
            </w:r>
          </w:p>
        </w:tc>
      </w:tr>
      <w:tr w:rsidR="00E9743F" w14:paraId="4DC5876E" w14:textId="77777777">
        <w:trPr>
          <w:cantSplit/>
          <w:trHeight w:val="560"/>
        </w:trPr>
        <w:tc>
          <w:tcPr>
            <w:tcW w:w="700" w:type="dxa"/>
            <w:tcMar>
              <w:top w:w="0" w:type="dxa"/>
              <w:bottom w:w="0" w:type="dxa"/>
            </w:tcMar>
            <w:vAlign w:val="center"/>
          </w:tcPr>
          <w:p w14:paraId="3C2C775E" w14:textId="77777777" w:rsidR="00E9743F" w:rsidRDefault="00944E32">
            <w:pPr>
              <w:keepNext/>
              <w:keepLines/>
              <w:spacing w:after="0" w:line="240" w:lineRule="auto"/>
            </w:pPr>
            <w:r>
              <w:rPr>
                <w:sz w:val="18"/>
              </w:rPr>
              <w:t>4224</w:t>
            </w:r>
          </w:p>
        </w:tc>
        <w:tc>
          <w:tcPr>
            <w:tcW w:w="3180" w:type="dxa"/>
            <w:tcMar>
              <w:top w:w="0" w:type="dxa"/>
              <w:bottom w:w="0" w:type="dxa"/>
            </w:tcMar>
            <w:vAlign w:val="center"/>
          </w:tcPr>
          <w:p w14:paraId="10EC26B8" w14:textId="77777777" w:rsidR="00E9743F" w:rsidRDefault="00944E32">
            <w:pPr>
              <w:keepNext/>
              <w:keepLines/>
              <w:spacing w:after="0" w:line="240" w:lineRule="auto"/>
            </w:pPr>
            <w:r>
              <w:rPr>
                <w:sz w:val="18"/>
              </w:rPr>
              <w:t>Medicinska i laboratorijska oprema</w:t>
            </w:r>
          </w:p>
        </w:tc>
        <w:tc>
          <w:tcPr>
            <w:tcW w:w="700" w:type="dxa"/>
            <w:tcMar>
              <w:top w:w="0" w:type="dxa"/>
              <w:bottom w:w="0" w:type="dxa"/>
            </w:tcMar>
            <w:vAlign w:val="center"/>
          </w:tcPr>
          <w:p w14:paraId="4E9624F4" w14:textId="77777777" w:rsidR="00E9743F" w:rsidRDefault="00944E32">
            <w:pPr>
              <w:keepNext/>
              <w:keepLines/>
              <w:spacing w:after="0" w:line="240" w:lineRule="auto"/>
            </w:pPr>
            <w:r>
              <w:rPr>
                <w:sz w:val="18"/>
              </w:rPr>
              <w:t>4224</w:t>
            </w:r>
          </w:p>
        </w:tc>
        <w:tc>
          <w:tcPr>
            <w:tcW w:w="1860" w:type="dxa"/>
            <w:tcMar>
              <w:top w:w="0" w:type="dxa"/>
              <w:bottom w:w="0" w:type="dxa"/>
            </w:tcMar>
            <w:vAlign w:val="center"/>
          </w:tcPr>
          <w:p w14:paraId="711482BF" w14:textId="77777777" w:rsidR="00E9743F" w:rsidRDefault="00944E32">
            <w:pPr>
              <w:keepNext/>
              <w:keepLines/>
              <w:spacing w:after="0" w:line="240" w:lineRule="auto"/>
              <w:jc w:val="right"/>
            </w:pPr>
            <w:r>
              <w:rPr>
                <w:sz w:val="18"/>
              </w:rPr>
              <w:t>131.218,55</w:t>
            </w:r>
          </w:p>
        </w:tc>
        <w:tc>
          <w:tcPr>
            <w:tcW w:w="1860" w:type="dxa"/>
            <w:tcMar>
              <w:top w:w="0" w:type="dxa"/>
              <w:bottom w:w="0" w:type="dxa"/>
            </w:tcMar>
            <w:vAlign w:val="center"/>
          </w:tcPr>
          <w:p w14:paraId="3AE8DEFC" w14:textId="77777777" w:rsidR="00E9743F" w:rsidRDefault="00944E32">
            <w:pPr>
              <w:keepNext/>
              <w:keepLines/>
              <w:spacing w:after="0" w:line="240" w:lineRule="auto"/>
              <w:jc w:val="right"/>
            </w:pPr>
            <w:r>
              <w:rPr>
                <w:sz w:val="18"/>
              </w:rPr>
              <w:t>461.248,93</w:t>
            </w:r>
          </w:p>
        </w:tc>
        <w:tc>
          <w:tcPr>
            <w:tcW w:w="700" w:type="dxa"/>
            <w:tcMar>
              <w:top w:w="0" w:type="dxa"/>
              <w:bottom w:w="0" w:type="dxa"/>
            </w:tcMar>
            <w:vAlign w:val="center"/>
          </w:tcPr>
          <w:p w14:paraId="12BF3E4B" w14:textId="77777777" w:rsidR="00E9743F" w:rsidRDefault="00944E32">
            <w:pPr>
              <w:keepNext/>
              <w:keepLines/>
              <w:spacing w:after="0" w:line="240" w:lineRule="auto"/>
              <w:jc w:val="right"/>
            </w:pPr>
            <w:r>
              <w:rPr>
                <w:sz w:val="18"/>
              </w:rPr>
              <w:t>351,5</w:t>
            </w:r>
          </w:p>
        </w:tc>
      </w:tr>
    </w:tbl>
    <w:p w14:paraId="2DE96C0A" w14:textId="77777777" w:rsidR="00E9743F" w:rsidRDefault="00E9743F">
      <w:pPr>
        <w:spacing w:after="0"/>
      </w:pPr>
    </w:p>
    <w:p w14:paraId="6EE296BE" w14:textId="77777777" w:rsidR="00E9743F" w:rsidRDefault="00944E32">
      <w:pPr>
        <w:jc w:val="both"/>
      </w:pPr>
      <w:r>
        <w:t>Značajno povećanje rashoda na poziciji  Laboratorijska oprema proizlazi iz nabave opreme u okviru EU i HRZZ projekata. U izvještajnom razdoblju u sklopu EU projekata nabavljeni su bespilotna letjelica i digitalni HIL simulator, dok su sredstvima HRZZ-a nabavljeni vektorski analizator mreža i CNC tokarilica.</w:t>
      </w:r>
    </w:p>
    <w:p w14:paraId="05BDF26F" w14:textId="77777777" w:rsidR="00E9743F" w:rsidRDefault="00E9743F"/>
    <w:p w14:paraId="630A4618" w14:textId="77777777" w:rsidR="00E9743F" w:rsidRDefault="00944E32">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743F" w14:paraId="001C69C4" w14:textId="77777777">
        <w:trPr>
          <w:cantSplit/>
        </w:trPr>
        <w:tc>
          <w:tcPr>
            <w:tcW w:w="700" w:type="dxa"/>
            <w:shd w:val="clear" w:color="auto" w:fill="E7F0F9"/>
            <w:tcMar>
              <w:top w:w="0" w:type="dxa"/>
              <w:bottom w:w="0" w:type="dxa"/>
            </w:tcMar>
            <w:vAlign w:val="center"/>
          </w:tcPr>
          <w:p w14:paraId="1C2FE249" w14:textId="77777777" w:rsidR="00E9743F" w:rsidRDefault="00944E32">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408BCA5" w14:textId="77777777" w:rsidR="00E9743F" w:rsidRDefault="00944E3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39F3A4" w14:textId="77777777" w:rsidR="00E9743F" w:rsidRDefault="00944E3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448B0E" w14:textId="77777777" w:rsidR="00E9743F" w:rsidRDefault="00944E3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9785EE" w14:textId="77777777" w:rsidR="00E9743F" w:rsidRDefault="00944E3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F9E03E" w14:textId="77777777" w:rsidR="00E9743F" w:rsidRDefault="00944E32">
            <w:pPr>
              <w:keepNext/>
              <w:keepLines/>
              <w:spacing w:after="0" w:line="240" w:lineRule="auto"/>
              <w:jc w:val="center"/>
            </w:pPr>
            <w:r>
              <w:rPr>
                <w:b/>
                <w:sz w:val="18"/>
              </w:rPr>
              <w:t>Indeks (%)</w:t>
            </w:r>
          </w:p>
        </w:tc>
      </w:tr>
      <w:tr w:rsidR="00E9743F" w14:paraId="1E87570E" w14:textId="77777777">
        <w:trPr>
          <w:cantSplit/>
          <w:trHeight w:val="560"/>
        </w:trPr>
        <w:tc>
          <w:tcPr>
            <w:tcW w:w="700" w:type="dxa"/>
            <w:tcMar>
              <w:top w:w="0" w:type="dxa"/>
              <w:bottom w:w="0" w:type="dxa"/>
            </w:tcMar>
            <w:vAlign w:val="center"/>
          </w:tcPr>
          <w:p w14:paraId="5D12435E" w14:textId="77777777" w:rsidR="00E9743F" w:rsidRDefault="00E9743F">
            <w:pPr>
              <w:keepNext/>
              <w:keepLines/>
              <w:spacing w:after="0" w:line="240" w:lineRule="auto"/>
            </w:pPr>
          </w:p>
        </w:tc>
        <w:tc>
          <w:tcPr>
            <w:tcW w:w="3180" w:type="dxa"/>
            <w:tcMar>
              <w:top w:w="0" w:type="dxa"/>
              <w:bottom w:w="0" w:type="dxa"/>
            </w:tcMar>
            <w:vAlign w:val="center"/>
          </w:tcPr>
          <w:p w14:paraId="20AF4BB6" w14:textId="77777777" w:rsidR="00E9743F" w:rsidRDefault="00944E32">
            <w:pPr>
              <w:keepNext/>
              <w:keepLines/>
              <w:spacing w:after="0" w:line="240" w:lineRule="auto"/>
            </w:pPr>
            <w:r>
              <w:rPr>
                <w:sz w:val="18"/>
              </w:rPr>
              <w:t>UKUPNI PRIHODI (šifre 6+7)</w:t>
            </w:r>
          </w:p>
        </w:tc>
        <w:tc>
          <w:tcPr>
            <w:tcW w:w="700" w:type="dxa"/>
            <w:tcMar>
              <w:top w:w="0" w:type="dxa"/>
              <w:bottom w:w="0" w:type="dxa"/>
            </w:tcMar>
            <w:vAlign w:val="center"/>
          </w:tcPr>
          <w:p w14:paraId="7FF84FD1" w14:textId="77777777" w:rsidR="00E9743F" w:rsidRDefault="00944E32">
            <w:pPr>
              <w:keepNext/>
              <w:keepLines/>
              <w:spacing w:after="0" w:line="240" w:lineRule="auto"/>
            </w:pPr>
            <w:r>
              <w:rPr>
                <w:sz w:val="18"/>
              </w:rPr>
              <w:t>X067</w:t>
            </w:r>
          </w:p>
        </w:tc>
        <w:tc>
          <w:tcPr>
            <w:tcW w:w="1860" w:type="dxa"/>
            <w:tcMar>
              <w:top w:w="0" w:type="dxa"/>
              <w:bottom w:w="0" w:type="dxa"/>
            </w:tcMar>
            <w:vAlign w:val="center"/>
          </w:tcPr>
          <w:p w14:paraId="741B08CC" w14:textId="77777777" w:rsidR="00E9743F" w:rsidRDefault="00944E32">
            <w:pPr>
              <w:keepNext/>
              <w:keepLines/>
              <w:spacing w:after="0" w:line="240" w:lineRule="auto"/>
              <w:jc w:val="right"/>
            </w:pPr>
            <w:r>
              <w:rPr>
                <w:sz w:val="18"/>
              </w:rPr>
              <w:t>13.194.124,85</w:t>
            </w:r>
          </w:p>
        </w:tc>
        <w:tc>
          <w:tcPr>
            <w:tcW w:w="1860" w:type="dxa"/>
            <w:tcMar>
              <w:top w:w="0" w:type="dxa"/>
              <w:bottom w:w="0" w:type="dxa"/>
            </w:tcMar>
            <w:vAlign w:val="center"/>
          </w:tcPr>
          <w:p w14:paraId="4C2D6E53" w14:textId="77777777" w:rsidR="00E9743F" w:rsidRDefault="00944E32">
            <w:pPr>
              <w:keepNext/>
              <w:keepLines/>
              <w:spacing w:after="0" w:line="240" w:lineRule="auto"/>
              <w:jc w:val="right"/>
            </w:pPr>
            <w:r>
              <w:rPr>
                <w:sz w:val="18"/>
              </w:rPr>
              <w:t>13.921.112,52</w:t>
            </w:r>
          </w:p>
        </w:tc>
        <w:tc>
          <w:tcPr>
            <w:tcW w:w="700" w:type="dxa"/>
            <w:tcMar>
              <w:top w:w="0" w:type="dxa"/>
              <w:bottom w:w="0" w:type="dxa"/>
            </w:tcMar>
            <w:vAlign w:val="center"/>
          </w:tcPr>
          <w:p w14:paraId="05EE3581" w14:textId="77777777" w:rsidR="00E9743F" w:rsidRDefault="00944E32">
            <w:pPr>
              <w:keepNext/>
              <w:keepLines/>
              <w:spacing w:after="0" w:line="240" w:lineRule="auto"/>
              <w:jc w:val="right"/>
            </w:pPr>
            <w:r>
              <w:rPr>
                <w:sz w:val="18"/>
              </w:rPr>
              <w:t>105,5</w:t>
            </w:r>
          </w:p>
        </w:tc>
      </w:tr>
    </w:tbl>
    <w:p w14:paraId="4923689C" w14:textId="77777777" w:rsidR="00E9743F" w:rsidRDefault="00E9743F">
      <w:pPr>
        <w:spacing w:after="0"/>
      </w:pPr>
    </w:p>
    <w:p w14:paraId="6E710F2C" w14:textId="60C4795C" w:rsidR="00E9743F" w:rsidRDefault="00944E32">
      <w:pPr>
        <w:jc w:val="both"/>
      </w:pPr>
      <w:r>
        <w:t xml:space="preserve">Iz priloženog izvješća Obrazac: PR-RAS za navedeno razdoblje na poziciji ostvareni ukupni prihodi vidljivo je da su ostvareni ukupni prihodi u odnosu na prethodnu godinu na 105,5 indeksna boda. Navedeno povećanje prvenstveno je rezultat povećanih prihoda iz nadležnog proračuna zbog sporazuma Vlade RH i Sindikata znanosti i visokog obrazovanja o povećanju osnovice plaće za javne službenike za 3% od veljače i dodatnih 3% od rujna. Također, zbog primjene novog instrumenta javnog financiranja znanstvenih ustanova bilježimo povećana ulaganja iz </w:t>
      </w:r>
      <w:r>
        <w:lastRenderedPageBreak/>
        <w:t>Nacionalnog plana oporavka i otpornosti (NPOO) za 9 institucijskih projekata, kao i veće prihode u sklopu 3 projekta NPOO poziva - Dokazivanje inovativnog koncepta. Na ostalim pozicijama prihoda nisu zabilježena značajna odstupanja.</w:t>
      </w:r>
    </w:p>
    <w:p w14:paraId="025FF769" w14:textId="77777777" w:rsidR="00E9743F" w:rsidRDefault="00944E32">
      <w:r>
        <w:t> </w:t>
      </w:r>
    </w:p>
    <w:p w14:paraId="36A32454" w14:textId="77777777" w:rsidR="00E9743F" w:rsidRDefault="00E9743F"/>
    <w:p w14:paraId="2BB5724D" w14:textId="77777777" w:rsidR="00E9743F" w:rsidRDefault="00944E32">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743F" w14:paraId="077A6E20" w14:textId="77777777">
        <w:trPr>
          <w:cantSplit/>
        </w:trPr>
        <w:tc>
          <w:tcPr>
            <w:tcW w:w="700" w:type="dxa"/>
            <w:shd w:val="clear" w:color="auto" w:fill="E7F0F9"/>
            <w:tcMar>
              <w:top w:w="0" w:type="dxa"/>
              <w:bottom w:w="0" w:type="dxa"/>
            </w:tcMar>
            <w:vAlign w:val="center"/>
          </w:tcPr>
          <w:p w14:paraId="6AEEBEE6" w14:textId="77777777" w:rsidR="00E9743F" w:rsidRDefault="00944E32">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41E6FF8" w14:textId="77777777" w:rsidR="00E9743F" w:rsidRDefault="00944E3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BA6504" w14:textId="77777777" w:rsidR="00E9743F" w:rsidRDefault="00944E3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C2482F" w14:textId="77777777" w:rsidR="00E9743F" w:rsidRDefault="00944E3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B58051E" w14:textId="77777777" w:rsidR="00E9743F" w:rsidRDefault="00944E3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C94C22" w14:textId="77777777" w:rsidR="00E9743F" w:rsidRDefault="00944E32">
            <w:pPr>
              <w:keepNext/>
              <w:keepLines/>
              <w:spacing w:after="0" w:line="240" w:lineRule="auto"/>
              <w:jc w:val="center"/>
            </w:pPr>
            <w:r>
              <w:rPr>
                <w:b/>
                <w:sz w:val="18"/>
              </w:rPr>
              <w:t>Indeks (%)</w:t>
            </w:r>
          </w:p>
        </w:tc>
      </w:tr>
      <w:tr w:rsidR="00E9743F" w14:paraId="42CD9294" w14:textId="77777777">
        <w:trPr>
          <w:cantSplit/>
          <w:trHeight w:val="560"/>
        </w:trPr>
        <w:tc>
          <w:tcPr>
            <w:tcW w:w="700" w:type="dxa"/>
            <w:tcMar>
              <w:top w:w="0" w:type="dxa"/>
              <w:bottom w:w="0" w:type="dxa"/>
            </w:tcMar>
            <w:vAlign w:val="center"/>
          </w:tcPr>
          <w:p w14:paraId="7EDF76D2" w14:textId="77777777" w:rsidR="00E9743F" w:rsidRDefault="00E9743F">
            <w:pPr>
              <w:keepNext/>
              <w:keepLines/>
              <w:spacing w:after="0" w:line="240" w:lineRule="auto"/>
            </w:pPr>
          </w:p>
        </w:tc>
        <w:tc>
          <w:tcPr>
            <w:tcW w:w="3180" w:type="dxa"/>
            <w:tcMar>
              <w:top w:w="0" w:type="dxa"/>
              <w:bottom w:w="0" w:type="dxa"/>
            </w:tcMar>
            <w:vAlign w:val="center"/>
          </w:tcPr>
          <w:p w14:paraId="5DDE5524" w14:textId="77777777" w:rsidR="00E9743F" w:rsidRDefault="00944E32">
            <w:pPr>
              <w:keepNext/>
              <w:keepLines/>
              <w:spacing w:after="0" w:line="240" w:lineRule="auto"/>
            </w:pPr>
            <w:r>
              <w:rPr>
                <w:sz w:val="18"/>
              </w:rPr>
              <w:t>UKUPNI RASHODI (šifre Z005+4)</w:t>
            </w:r>
          </w:p>
        </w:tc>
        <w:tc>
          <w:tcPr>
            <w:tcW w:w="700" w:type="dxa"/>
            <w:tcMar>
              <w:top w:w="0" w:type="dxa"/>
              <w:bottom w:w="0" w:type="dxa"/>
            </w:tcMar>
            <w:vAlign w:val="center"/>
          </w:tcPr>
          <w:p w14:paraId="357533D9" w14:textId="77777777" w:rsidR="00E9743F" w:rsidRDefault="00944E32">
            <w:pPr>
              <w:keepNext/>
              <w:keepLines/>
              <w:spacing w:after="0" w:line="240" w:lineRule="auto"/>
            </w:pPr>
            <w:r>
              <w:rPr>
                <w:sz w:val="18"/>
              </w:rPr>
              <w:t>Y034</w:t>
            </w:r>
          </w:p>
        </w:tc>
        <w:tc>
          <w:tcPr>
            <w:tcW w:w="1860" w:type="dxa"/>
            <w:tcMar>
              <w:top w:w="0" w:type="dxa"/>
              <w:bottom w:w="0" w:type="dxa"/>
            </w:tcMar>
            <w:vAlign w:val="center"/>
          </w:tcPr>
          <w:p w14:paraId="6C52E9A4" w14:textId="77777777" w:rsidR="00E9743F" w:rsidRDefault="00944E32">
            <w:pPr>
              <w:keepNext/>
              <w:keepLines/>
              <w:spacing w:after="0" w:line="240" w:lineRule="auto"/>
              <w:jc w:val="right"/>
            </w:pPr>
            <w:r>
              <w:rPr>
                <w:sz w:val="18"/>
              </w:rPr>
              <w:t>11.948.097,55</w:t>
            </w:r>
          </w:p>
        </w:tc>
        <w:tc>
          <w:tcPr>
            <w:tcW w:w="1860" w:type="dxa"/>
            <w:tcMar>
              <w:top w:w="0" w:type="dxa"/>
              <w:bottom w:w="0" w:type="dxa"/>
            </w:tcMar>
            <w:vAlign w:val="center"/>
          </w:tcPr>
          <w:p w14:paraId="43DA224D" w14:textId="77777777" w:rsidR="00E9743F" w:rsidRDefault="00944E32">
            <w:pPr>
              <w:keepNext/>
              <w:keepLines/>
              <w:spacing w:after="0" w:line="240" w:lineRule="auto"/>
              <w:jc w:val="right"/>
            </w:pPr>
            <w:r>
              <w:rPr>
                <w:sz w:val="18"/>
              </w:rPr>
              <w:t>14.425.416,06</w:t>
            </w:r>
          </w:p>
        </w:tc>
        <w:tc>
          <w:tcPr>
            <w:tcW w:w="700" w:type="dxa"/>
            <w:tcMar>
              <w:top w:w="0" w:type="dxa"/>
              <w:bottom w:w="0" w:type="dxa"/>
            </w:tcMar>
            <w:vAlign w:val="center"/>
          </w:tcPr>
          <w:p w14:paraId="2262C934" w14:textId="77777777" w:rsidR="00E9743F" w:rsidRDefault="00944E32">
            <w:pPr>
              <w:keepNext/>
              <w:keepLines/>
              <w:spacing w:after="0" w:line="240" w:lineRule="auto"/>
              <w:jc w:val="right"/>
            </w:pPr>
            <w:r>
              <w:rPr>
                <w:sz w:val="18"/>
              </w:rPr>
              <w:t>120,7</w:t>
            </w:r>
          </w:p>
        </w:tc>
      </w:tr>
    </w:tbl>
    <w:p w14:paraId="637D0491" w14:textId="77777777" w:rsidR="00E9743F" w:rsidRDefault="00E9743F">
      <w:pPr>
        <w:spacing w:after="0"/>
      </w:pPr>
    </w:p>
    <w:p w14:paraId="4E250F7C" w14:textId="77777777" w:rsidR="00E9743F" w:rsidRDefault="00944E32">
      <w:pPr>
        <w:jc w:val="both"/>
      </w:pPr>
      <w:r>
        <w:t>Iz priloženog izvješća Obrazac: PR-RAS za navedeno razdoblje na poziciji ostvareni ukupni rashodi vidljivo je da su ostvareni ukupni rashodi u odnosu na prethodnu godinu na 120,7 indeksna boda. Navedeno povećanje prvenstveno je rezultat povećanih rashoda zbog izmjene Pravilnika o proračunskom računovodstvu u kojem je propisano ukidanje podskupine računa 193 Kontinuirani rashodi budućih razdoblja. Navedena izmjena ima za posljedicu knjiženje rashoda plaće za prosinac 2025. odnosno ukupno 13 rashoda za plaće u izvještajnom razdoblju. Također povećani rashodi za zaposlene su rezultat sporazuma Vlade RH i Sindikata znanosti i visokog obrazovanja o povećanju osnovice plaće za javne službenike za 3% od veljače i dodatnih 3% od rujna. Osim rashoda za zaposlene bilježimo i povećane materijalne rashode i rashode za usluge zbog značajnih radova i ulaganja na održavanju zgrade. Također, povećani rashodi na dugotrajnoj materijalnoj imovini su rezultat nabave opreme u okviru HRZZ i EU projekata.</w:t>
      </w:r>
    </w:p>
    <w:p w14:paraId="7ECFD598" w14:textId="77777777" w:rsidR="00E9743F" w:rsidRDefault="00E9743F"/>
    <w:p w14:paraId="0642285A" w14:textId="77777777" w:rsidR="00E9743F" w:rsidRDefault="00944E32">
      <w:pPr>
        <w:keepNext/>
        <w:spacing w:line="240" w:lineRule="auto"/>
        <w:jc w:val="center"/>
      </w:pPr>
      <w:r>
        <w:rPr>
          <w:b/>
          <w:sz w:val="28"/>
        </w:rPr>
        <w:t>Bilanca</w:t>
      </w:r>
    </w:p>
    <w:p w14:paraId="3312A930" w14:textId="77777777" w:rsidR="00E9743F" w:rsidRDefault="00944E32">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743F" w14:paraId="55B09BC3" w14:textId="77777777">
        <w:trPr>
          <w:cantSplit/>
        </w:trPr>
        <w:tc>
          <w:tcPr>
            <w:tcW w:w="700" w:type="dxa"/>
            <w:shd w:val="clear" w:color="auto" w:fill="E7F0F9"/>
            <w:tcMar>
              <w:top w:w="0" w:type="dxa"/>
              <w:bottom w:w="0" w:type="dxa"/>
            </w:tcMar>
            <w:vAlign w:val="center"/>
          </w:tcPr>
          <w:p w14:paraId="6DF15B85" w14:textId="77777777" w:rsidR="00E9743F" w:rsidRDefault="00944E32">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F50E949" w14:textId="77777777" w:rsidR="00E9743F" w:rsidRDefault="00944E3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128BFB" w14:textId="77777777" w:rsidR="00E9743F" w:rsidRDefault="00944E3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90FCB0" w14:textId="77777777" w:rsidR="00E9743F" w:rsidRDefault="00944E3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D3AEA58" w14:textId="77777777" w:rsidR="00E9743F" w:rsidRDefault="00944E3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83CF5DA" w14:textId="77777777" w:rsidR="00E9743F" w:rsidRDefault="00944E32">
            <w:pPr>
              <w:keepNext/>
              <w:keepLines/>
              <w:spacing w:after="0" w:line="240" w:lineRule="auto"/>
              <w:jc w:val="center"/>
            </w:pPr>
            <w:r>
              <w:rPr>
                <w:b/>
                <w:sz w:val="18"/>
              </w:rPr>
              <w:t>Indeks (%)</w:t>
            </w:r>
          </w:p>
        </w:tc>
      </w:tr>
      <w:tr w:rsidR="00E9743F" w14:paraId="2FAB6AC8" w14:textId="77777777">
        <w:trPr>
          <w:cantSplit/>
          <w:trHeight w:val="560"/>
        </w:trPr>
        <w:tc>
          <w:tcPr>
            <w:tcW w:w="700" w:type="dxa"/>
            <w:tcMar>
              <w:top w:w="0" w:type="dxa"/>
              <w:bottom w:w="0" w:type="dxa"/>
            </w:tcMar>
            <w:vAlign w:val="center"/>
          </w:tcPr>
          <w:p w14:paraId="73547382" w14:textId="77777777" w:rsidR="00E9743F" w:rsidRDefault="00944E32">
            <w:pPr>
              <w:keepNext/>
              <w:keepLines/>
              <w:spacing w:after="0" w:line="240" w:lineRule="auto"/>
            </w:pPr>
            <w:r>
              <w:rPr>
                <w:sz w:val="18"/>
              </w:rPr>
              <w:t>0</w:t>
            </w:r>
          </w:p>
        </w:tc>
        <w:tc>
          <w:tcPr>
            <w:tcW w:w="3180" w:type="dxa"/>
            <w:tcMar>
              <w:top w:w="0" w:type="dxa"/>
              <w:bottom w:w="0" w:type="dxa"/>
            </w:tcMar>
            <w:vAlign w:val="center"/>
          </w:tcPr>
          <w:p w14:paraId="09E0431B" w14:textId="77777777" w:rsidR="00E9743F" w:rsidRDefault="00944E32">
            <w:pPr>
              <w:keepNext/>
              <w:keepLines/>
              <w:spacing w:after="0" w:line="240" w:lineRule="auto"/>
            </w:pPr>
            <w:r>
              <w:rPr>
                <w:sz w:val="18"/>
              </w:rPr>
              <w:t>Nefinancijska imovina (šifre 01+02+03+04+05+06)</w:t>
            </w:r>
          </w:p>
        </w:tc>
        <w:tc>
          <w:tcPr>
            <w:tcW w:w="700" w:type="dxa"/>
            <w:tcMar>
              <w:top w:w="0" w:type="dxa"/>
              <w:bottom w:w="0" w:type="dxa"/>
            </w:tcMar>
            <w:vAlign w:val="center"/>
          </w:tcPr>
          <w:p w14:paraId="7B7B2677" w14:textId="77777777" w:rsidR="00E9743F" w:rsidRDefault="00944E32">
            <w:pPr>
              <w:keepNext/>
              <w:keepLines/>
              <w:spacing w:after="0" w:line="240" w:lineRule="auto"/>
            </w:pPr>
            <w:r>
              <w:rPr>
                <w:sz w:val="18"/>
              </w:rPr>
              <w:t>B002</w:t>
            </w:r>
          </w:p>
        </w:tc>
        <w:tc>
          <w:tcPr>
            <w:tcW w:w="1860" w:type="dxa"/>
            <w:tcMar>
              <w:top w:w="0" w:type="dxa"/>
              <w:bottom w:w="0" w:type="dxa"/>
            </w:tcMar>
            <w:vAlign w:val="center"/>
          </w:tcPr>
          <w:p w14:paraId="3E7FA442" w14:textId="77777777" w:rsidR="00E9743F" w:rsidRDefault="00944E32">
            <w:pPr>
              <w:keepNext/>
              <w:keepLines/>
              <w:spacing w:after="0" w:line="240" w:lineRule="auto"/>
              <w:jc w:val="right"/>
            </w:pPr>
            <w:r>
              <w:rPr>
                <w:sz w:val="18"/>
              </w:rPr>
              <w:t>3.287.509,20</w:t>
            </w:r>
          </w:p>
        </w:tc>
        <w:tc>
          <w:tcPr>
            <w:tcW w:w="1860" w:type="dxa"/>
            <w:tcMar>
              <w:top w:w="0" w:type="dxa"/>
              <w:bottom w:w="0" w:type="dxa"/>
            </w:tcMar>
            <w:vAlign w:val="center"/>
          </w:tcPr>
          <w:p w14:paraId="41CD49B9" w14:textId="77777777" w:rsidR="00E9743F" w:rsidRDefault="00944E32">
            <w:pPr>
              <w:keepNext/>
              <w:keepLines/>
              <w:spacing w:after="0" w:line="240" w:lineRule="auto"/>
              <w:jc w:val="right"/>
            </w:pPr>
            <w:r>
              <w:rPr>
                <w:sz w:val="18"/>
              </w:rPr>
              <w:t>3.395.773,31</w:t>
            </w:r>
          </w:p>
        </w:tc>
        <w:tc>
          <w:tcPr>
            <w:tcW w:w="700" w:type="dxa"/>
            <w:tcMar>
              <w:top w:w="0" w:type="dxa"/>
              <w:bottom w:w="0" w:type="dxa"/>
            </w:tcMar>
            <w:vAlign w:val="center"/>
          </w:tcPr>
          <w:p w14:paraId="7B921E90" w14:textId="77777777" w:rsidR="00E9743F" w:rsidRDefault="00944E32">
            <w:pPr>
              <w:keepNext/>
              <w:keepLines/>
              <w:spacing w:after="0" w:line="240" w:lineRule="auto"/>
              <w:jc w:val="right"/>
            </w:pPr>
            <w:r>
              <w:rPr>
                <w:sz w:val="18"/>
              </w:rPr>
              <w:t>103,3</w:t>
            </w:r>
          </w:p>
        </w:tc>
      </w:tr>
    </w:tbl>
    <w:p w14:paraId="5E2C46DB" w14:textId="77777777" w:rsidR="00E9743F" w:rsidRDefault="00E9743F">
      <w:pPr>
        <w:spacing w:after="0"/>
      </w:pPr>
    </w:p>
    <w:p w14:paraId="63A73558" w14:textId="77777777" w:rsidR="00E9743F" w:rsidRDefault="00944E32">
      <w:pPr>
        <w:jc w:val="both"/>
      </w:pPr>
      <w:r>
        <w:t>Nefinancijska  imovina Obrazac: BILANCA Izvršen je ispravak vrijednosti nefinancijske imovine prema zakonskim stopama amortizacije i to na teret izvora vlasništva u korist ispravka vrijednosti dugotrajne imovine 911/029 uz smanjenje vrijednosti imovine na podskupini 915. Obračun ispravka vrijednosti nefinancijske imovine za 2025. iznosi 539.699,88 eura. Po obavljenoj inventuri u siječnju 2026. biti će isknjižena dugotrajna nefinancijska imovina i to nabavne vrijednosti u iznosu od 361.845,80 eura, te ispravljene vrijednosti u iznosu od 361.845,80. Sadašnja vrijednost imovine uključivo sa knjigama u knjižnici i gotovim proizvodima  po osnovi izdavačke djelatnosti iznosi 3.395.773,31 eura.</w:t>
      </w:r>
    </w:p>
    <w:p w14:paraId="20B65F7D" w14:textId="77777777" w:rsidR="00E9743F" w:rsidRDefault="00944E32">
      <w:pPr>
        <w:jc w:val="both"/>
      </w:pPr>
      <w:r>
        <w:lastRenderedPageBreak/>
        <w:t>Utvrđeni manjkovi, oštećena, pokvarena ili na drugi način neupotrebljiva  imovina je nastala zbog tehnološke zastarjelosti računalne opreme, kvara i sl., kao i oštećenja namještaja. Računalna oprema, tehnološki zastarjela i dijelom neispravna se isključuje iz uporabe i biti će predana ovlaštenoj pravnoj osobi za zbrinjavanje otpada, o čemu će se pribaviti odgovarajuća potvrda koja služi za isknjiženje imovine iz poslovnih knjiga. Namještaj je zbog oštećenja stavljen van upotrebe. Predložena dugotrajna imovina knjigovodstveno je otpisana prema zakonskim stopama amortizacije.</w:t>
      </w:r>
    </w:p>
    <w:p w14:paraId="0F7A152E" w14:textId="77777777" w:rsidR="00E9743F" w:rsidRDefault="00944E32">
      <w:pPr>
        <w:jc w:val="both"/>
      </w:pPr>
      <w:r>
        <w:t>Sitni inventar je već u cijelosti otpisan, a prema inventurnom popisu onaj koji je oštećen i neispravan u iznosu od 19.728,86 eura potpuno će se isknjižiti iz poslovnih knjiga.</w:t>
      </w:r>
    </w:p>
    <w:p w14:paraId="598B4639" w14:textId="77777777" w:rsidR="00E9743F" w:rsidRDefault="00944E32">
      <w:r>
        <w:t> </w:t>
      </w:r>
    </w:p>
    <w:p w14:paraId="4F11E19B" w14:textId="77777777" w:rsidR="00E9743F" w:rsidRDefault="00E9743F"/>
    <w:p w14:paraId="7C08DC89" w14:textId="77777777" w:rsidR="00E9743F" w:rsidRDefault="00944E32">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743F" w14:paraId="143C6939" w14:textId="77777777">
        <w:trPr>
          <w:cantSplit/>
        </w:trPr>
        <w:tc>
          <w:tcPr>
            <w:tcW w:w="700" w:type="dxa"/>
            <w:shd w:val="clear" w:color="auto" w:fill="E7F0F9"/>
            <w:tcMar>
              <w:top w:w="0" w:type="dxa"/>
              <w:bottom w:w="0" w:type="dxa"/>
            </w:tcMar>
            <w:vAlign w:val="center"/>
          </w:tcPr>
          <w:p w14:paraId="7B015CD1" w14:textId="77777777" w:rsidR="00E9743F" w:rsidRDefault="00944E32">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E52B13D" w14:textId="77777777" w:rsidR="00E9743F" w:rsidRDefault="00944E3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665FFB" w14:textId="77777777" w:rsidR="00E9743F" w:rsidRDefault="00944E3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7CEC8A" w14:textId="77777777" w:rsidR="00E9743F" w:rsidRDefault="00944E3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A8B2121" w14:textId="77777777" w:rsidR="00E9743F" w:rsidRDefault="00944E3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682D543" w14:textId="77777777" w:rsidR="00E9743F" w:rsidRDefault="00944E32">
            <w:pPr>
              <w:keepNext/>
              <w:keepLines/>
              <w:spacing w:after="0" w:line="240" w:lineRule="auto"/>
              <w:jc w:val="center"/>
            </w:pPr>
            <w:r>
              <w:rPr>
                <w:b/>
                <w:sz w:val="18"/>
              </w:rPr>
              <w:t>Indeks (%)</w:t>
            </w:r>
          </w:p>
        </w:tc>
      </w:tr>
      <w:tr w:rsidR="00E9743F" w14:paraId="2A3CF336" w14:textId="77777777">
        <w:trPr>
          <w:cantSplit/>
          <w:trHeight w:val="560"/>
        </w:trPr>
        <w:tc>
          <w:tcPr>
            <w:tcW w:w="700" w:type="dxa"/>
            <w:tcMar>
              <w:top w:w="0" w:type="dxa"/>
              <w:bottom w:w="0" w:type="dxa"/>
            </w:tcMar>
            <w:vAlign w:val="center"/>
          </w:tcPr>
          <w:p w14:paraId="6C9D692D" w14:textId="77777777" w:rsidR="00E9743F" w:rsidRDefault="00944E32">
            <w:pPr>
              <w:keepNext/>
              <w:keepLines/>
              <w:spacing w:after="0" w:line="240" w:lineRule="auto"/>
            </w:pPr>
            <w:r>
              <w:rPr>
                <w:sz w:val="18"/>
              </w:rPr>
              <w:t>169</w:t>
            </w:r>
          </w:p>
        </w:tc>
        <w:tc>
          <w:tcPr>
            <w:tcW w:w="3180" w:type="dxa"/>
            <w:tcMar>
              <w:top w:w="0" w:type="dxa"/>
              <w:bottom w:w="0" w:type="dxa"/>
            </w:tcMar>
            <w:vAlign w:val="center"/>
          </w:tcPr>
          <w:p w14:paraId="6DD8C966" w14:textId="77777777" w:rsidR="00E9743F" w:rsidRDefault="00944E32">
            <w:pPr>
              <w:keepNext/>
              <w:keepLines/>
              <w:spacing w:after="0" w:line="240" w:lineRule="auto"/>
            </w:pPr>
            <w:r>
              <w:rPr>
                <w:sz w:val="18"/>
              </w:rPr>
              <w:t>Ispravak vrijednosti potraživanja</w:t>
            </w:r>
          </w:p>
        </w:tc>
        <w:tc>
          <w:tcPr>
            <w:tcW w:w="700" w:type="dxa"/>
            <w:tcMar>
              <w:top w:w="0" w:type="dxa"/>
              <w:bottom w:w="0" w:type="dxa"/>
            </w:tcMar>
            <w:vAlign w:val="center"/>
          </w:tcPr>
          <w:p w14:paraId="30B3372E" w14:textId="77777777" w:rsidR="00E9743F" w:rsidRDefault="00944E32">
            <w:pPr>
              <w:keepNext/>
              <w:keepLines/>
              <w:spacing w:after="0" w:line="240" w:lineRule="auto"/>
            </w:pPr>
            <w:r>
              <w:rPr>
                <w:sz w:val="18"/>
              </w:rPr>
              <w:t>169</w:t>
            </w:r>
          </w:p>
        </w:tc>
        <w:tc>
          <w:tcPr>
            <w:tcW w:w="1860" w:type="dxa"/>
            <w:tcMar>
              <w:top w:w="0" w:type="dxa"/>
              <w:bottom w:w="0" w:type="dxa"/>
            </w:tcMar>
            <w:vAlign w:val="center"/>
          </w:tcPr>
          <w:p w14:paraId="6658B38E" w14:textId="77777777" w:rsidR="00E9743F" w:rsidRDefault="00944E32">
            <w:pPr>
              <w:keepNext/>
              <w:keepLines/>
              <w:spacing w:after="0" w:line="240" w:lineRule="auto"/>
              <w:jc w:val="right"/>
            </w:pPr>
            <w:r>
              <w:rPr>
                <w:sz w:val="18"/>
              </w:rPr>
              <w:t>2.899,91</w:t>
            </w:r>
          </w:p>
        </w:tc>
        <w:tc>
          <w:tcPr>
            <w:tcW w:w="1860" w:type="dxa"/>
            <w:tcMar>
              <w:top w:w="0" w:type="dxa"/>
              <w:bottom w:w="0" w:type="dxa"/>
            </w:tcMar>
            <w:vAlign w:val="center"/>
          </w:tcPr>
          <w:p w14:paraId="73ED323D" w14:textId="77777777" w:rsidR="00E9743F" w:rsidRDefault="00944E32">
            <w:pPr>
              <w:keepNext/>
              <w:keepLines/>
              <w:spacing w:after="0" w:line="240" w:lineRule="auto"/>
              <w:jc w:val="right"/>
            </w:pPr>
            <w:r>
              <w:rPr>
                <w:sz w:val="18"/>
              </w:rPr>
              <w:t>14.119,38</w:t>
            </w:r>
          </w:p>
        </w:tc>
        <w:tc>
          <w:tcPr>
            <w:tcW w:w="700" w:type="dxa"/>
            <w:tcMar>
              <w:top w:w="0" w:type="dxa"/>
              <w:bottom w:w="0" w:type="dxa"/>
            </w:tcMar>
            <w:vAlign w:val="center"/>
          </w:tcPr>
          <w:p w14:paraId="6DAD3E53" w14:textId="77777777" w:rsidR="00E9743F" w:rsidRDefault="00944E32">
            <w:pPr>
              <w:keepNext/>
              <w:keepLines/>
              <w:spacing w:after="0" w:line="240" w:lineRule="auto"/>
              <w:jc w:val="right"/>
            </w:pPr>
            <w:r>
              <w:rPr>
                <w:sz w:val="18"/>
              </w:rPr>
              <w:t>486,9</w:t>
            </w:r>
          </w:p>
        </w:tc>
      </w:tr>
    </w:tbl>
    <w:p w14:paraId="7F4B183C" w14:textId="77777777" w:rsidR="00E9743F" w:rsidRDefault="00E9743F">
      <w:pPr>
        <w:spacing w:after="0"/>
      </w:pPr>
    </w:p>
    <w:p w14:paraId="7EEDA9C8" w14:textId="77777777" w:rsidR="00E9743F" w:rsidRDefault="00944E32">
      <w:pPr>
        <w:jc w:val="both"/>
      </w:pPr>
      <w:r>
        <w:t>Uvođenjem novog Pravilnika o proračunskom računovodstvu i računskom planu (NN br.154/24.) proveden je ispravak potraživanja primjenom jedinstvene stope od 100% u slučajevima kada naplata kasni dulje od dvije godine kao i za potraživanja po pokrenutim stečajnim i likvidacijskim postupcima nad dužnicima.</w:t>
      </w:r>
    </w:p>
    <w:p w14:paraId="7E9764C0" w14:textId="77777777" w:rsidR="00E9743F" w:rsidRDefault="00E9743F"/>
    <w:p w14:paraId="110106C6" w14:textId="77777777" w:rsidR="00E9743F" w:rsidRDefault="00944E32">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743F" w14:paraId="7942D0B9" w14:textId="77777777">
        <w:trPr>
          <w:cantSplit/>
        </w:trPr>
        <w:tc>
          <w:tcPr>
            <w:tcW w:w="700" w:type="dxa"/>
            <w:shd w:val="clear" w:color="auto" w:fill="E7F0F9"/>
            <w:tcMar>
              <w:top w:w="0" w:type="dxa"/>
              <w:bottom w:w="0" w:type="dxa"/>
            </w:tcMar>
            <w:vAlign w:val="center"/>
          </w:tcPr>
          <w:p w14:paraId="6F6D987E" w14:textId="77777777" w:rsidR="00E9743F" w:rsidRDefault="00944E32">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A800D50" w14:textId="77777777" w:rsidR="00E9743F" w:rsidRDefault="00944E3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8B937F" w14:textId="77777777" w:rsidR="00E9743F" w:rsidRDefault="00944E3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A65C61" w14:textId="77777777" w:rsidR="00E9743F" w:rsidRDefault="00944E3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F32EF25" w14:textId="77777777" w:rsidR="00E9743F" w:rsidRDefault="00944E3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00D4CA9" w14:textId="77777777" w:rsidR="00E9743F" w:rsidRDefault="00944E32">
            <w:pPr>
              <w:keepNext/>
              <w:keepLines/>
              <w:spacing w:after="0" w:line="240" w:lineRule="auto"/>
              <w:jc w:val="center"/>
            </w:pPr>
            <w:r>
              <w:rPr>
                <w:b/>
                <w:sz w:val="18"/>
              </w:rPr>
              <w:t>Indeks (%)</w:t>
            </w:r>
          </w:p>
        </w:tc>
      </w:tr>
      <w:tr w:rsidR="00E9743F" w14:paraId="05704588" w14:textId="77777777">
        <w:trPr>
          <w:cantSplit/>
          <w:trHeight w:val="560"/>
        </w:trPr>
        <w:tc>
          <w:tcPr>
            <w:tcW w:w="700" w:type="dxa"/>
            <w:tcMar>
              <w:top w:w="0" w:type="dxa"/>
              <w:bottom w:w="0" w:type="dxa"/>
            </w:tcMar>
            <w:vAlign w:val="center"/>
          </w:tcPr>
          <w:p w14:paraId="134E478A" w14:textId="77777777" w:rsidR="00E9743F" w:rsidRDefault="00944E32">
            <w:pPr>
              <w:keepNext/>
              <w:keepLines/>
              <w:spacing w:after="0" w:line="240" w:lineRule="auto"/>
            </w:pPr>
            <w:r>
              <w:rPr>
                <w:sz w:val="18"/>
              </w:rPr>
              <w:t>996</w:t>
            </w:r>
          </w:p>
        </w:tc>
        <w:tc>
          <w:tcPr>
            <w:tcW w:w="3180" w:type="dxa"/>
            <w:tcMar>
              <w:top w:w="0" w:type="dxa"/>
              <w:bottom w:w="0" w:type="dxa"/>
            </w:tcMar>
            <w:vAlign w:val="center"/>
          </w:tcPr>
          <w:p w14:paraId="3D1B3633" w14:textId="77777777" w:rsidR="00E9743F" w:rsidRDefault="00944E32">
            <w:pPr>
              <w:keepNext/>
              <w:keepLines/>
              <w:spacing w:after="0" w:line="240" w:lineRule="auto"/>
            </w:pPr>
            <w:r>
              <w:rPr>
                <w:sz w:val="18"/>
              </w:rPr>
              <w:t>Izvanbilančni zapisi - pasiva</w:t>
            </w:r>
          </w:p>
        </w:tc>
        <w:tc>
          <w:tcPr>
            <w:tcW w:w="700" w:type="dxa"/>
            <w:tcMar>
              <w:top w:w="0" w:type="dxa"/>
              <w:bottom w:w="0" w:type="dxa"/>
            </w:tcMar>
            <w:vAlign w:val="center"/>
          </w:tcPr>
          <w:p w14:paraId="57FB1DCA" w14:textId="77777777" w:rsidR="00E9743F" w:rsidRDefault="00944E32">
            <w:pPr>
              <w:keepNext/>
              <w:keepLines/>
              <w:spacing w:after="0" w:line="240" w:lineRule="auto"/>
            </w:pPr>
            <w:r>
              <w:rPr>
                <w:sz w:val="18"/>
              </w:rPr>
              <w:t>996</w:t>
            </w:r>
          </w:p>
        </w:tc>
        <w:tc>
          <w:tcPr>
            <w:tcW w:w="1860" w:type="dxa"/>
            <w:tcMar>
              <w:top w:w="0" w:type="dxa"/>
              <w:bottom w:w="0" w:type="dxa"/>
            </w:tcMar>
            <w:vAlign w:val="center"/>
          </w:tcPr>
          <w:p w14:paraId="57B2B15D" w14:textId="77777777" w:rsidR="00E9743F" w:rsidRDefault="00944E32">
            <w:pPr>
              <w:keepNext/>
              <w:keepLines/>
              <w:spacing w:after="0" w:line="240" w:lineRule="auto"/>
              <w:jc w:val="right"/>
            </w:pPr>
            <w:r>
              <w:rPr>
                <w:sz w:val="18"/>
              </w:rPr>
              <w:t>243.302,60</w:t>
            </w:r>
          </w:p>
        </w:tc>
        <w:tc>
          <w:tcPr>
            <w:tcW w:w="1860" w:type="dxa"/>
            <w:tcMar>
              <w:top w:w="0" w:type="dxa"/>
              <w:bottom w:w="0" w:type="dxa"/>
            </w:tcMar>
            <w:vAlign w:val="center"/>
          </w:tcPr>
          <w:p w14:paraId="7D4B1499" w14:textId="77777777" w:rsidR="00E9743F" w:rsidRDefault="00944E32">
            <w:pPr>
              <w:keepNext/>
              <w:keepLines/>
              <w:spacing w:after="0" w:line="240" w:lineRule="auto"/>
              <w:jc w:val="right"/>
            </w:pPr>
            <w:r>
              <w:rPr>
                <w:sz w:val="18"/>
              </w:rPr>
              <w:t>5.751.172,34</w:t>
            </w:r>
          </w:p>
        </w:tc>
        <w:tc>
          <w:tcPr>
            <w:tcW w:w="700" w:type="dxa"/>
            <w:tcMar>
              <w:top w:w="0" w:type="dxa"/>
              <w:bottom w:w="0" w:type="dxa"/>
            </w:tcMar>
            <w:vAlign w:val="center"/>
          </w:tcPr>
          <w:p w14:paraId="44622D4A" w14:textId="77777777" w:rsidR="00E9743F" w:rsidRDefault="00944E32">
            <w:pPr>
              <w:keepNext/>
              <w:keepLines/>
              <w:spacing w:after="0" w:line="240" w:lineRule="auto"/>
              <w:jc w:val="right"/>
            </w:pPr>
            <w:r>
              <w:rPr>
                <w:sz w:val="18"/>
              </w:rPr>
              <w:t>2363,8</w:t>
            </w:r>
          </w:p>
        </w:tc>
      </w:tr>
    </w:tbl>
    <w:p w14:paraId="3F28171F" w14:textId="77777777" w:rsidR="00E9743F" w:rsidRDefault="00E9743F">
      <w:pPr>
        <w:spacing w:after="0"/>
      </w:pPr>
    </w:p>
    <w:p w14:paraId="000BDA41" w14:textId="77777777" w:rsidR="00E9743F" w:rsidRDefault="00944E32">
      <w:r>
        <w:t>Izvanbilančni zapisi – Obrazac: BILANCA u iznosu od 5.751.172,34 EUR odnose se na dane i primljene instrumente osiguranja plaćanja u iznosu od 223.946,73 eura, potencijalne obveze po sudskim sporovima u tijeku u iznosu od 31.909,27 eura te potraživanja i preuzete obveze po ugovorima o dodjeli bespovratnih sredstava iz EU fondova u iznosu od 5.495.316,34 eura, koja se od 2025. godine evidentiraju u skladu s Uputom Ministarstva financija za računovodstveno evidentiranje sredstava Europske unije. </w:t>
      </w:r>
    </w:p>
    <w:p w14:paraId="61C0A8DB" w14:textId="77777777" w:rsidR="00E9743F" w:rsidRDefault="00944E32">
      <w:r>
        <w:t> </w:t>
      </w:r>
    </w:p>
    <w:p w14:paraId="371AD112" w14:textId="77777777" w:rsidR="00E9743F" w:rsidRDefault="00944E32">
      <w:r>
        <w:t> </w:t>
      </w:r>
    </w:p>
    <w:p w14:paraId="1AD37C27" w14:textId="77777777" w:rsidR="00E9743F" w:rsidRDefault="00944E32">
      <w:r>
        <w:t> </w:t>
      </w:r>
    </w:p>
    <w:p w14:paraId="3E4EAB20" w14:textId="77777777" w:rsidR="00E9743F" w:rsidRDefault="00E9743F"/>
    <w:p w14:paraId="6B07C4FC" w14:textId="77777777" w:rsidR="00E9743F" w:rsidRDefault="00944E32">
      <w:pPr>
        <w:keepNext/>
        <w:spacing w:line="240" w:lineRule="auto"/>
        <w:jc w:val="center"/>
      </w:pPr>
      <w:r>
        <w:rPr>
          <w:b/>
          <w:sz w:val="28"/>
        </w:rPr>
        <w:t>Promjene u vrijednosti i obujmu imovine i obveza</w:t>
      </w:r>
    </w:p>
    <w:p w14:paraId="241CFA00" w14:textId="77777777" w:rsidR="00E9743F" w:rsidRDefault="00944E32">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9743F" w14:paraId="27AFC401" w14:textId="77777777">
        <w:trPr>
          <w:cantSplit/>
        </w:trPr>
        <w:tc>
          <w:tcPr>
            <w:tcW w:w="700" w:type="dxa"/>
            <w:shd w:val="clear" w:color="auto" w:fill="E7F0F9"/>
            <w:tcMar>
              <w:top w:w="0" w:type="dxa"/>
              <w:bottom w:w="0" w:type="dxa"/>
            </w:tcMar>
            <w:vAlign w:val="center"/>
          </w:tcPr>
          <w:p w14:paraId="06AF8E9F" w14:textId="77777777" w:rsidR="00E9743F" w:rsidRDefault="00944E32">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7FF1B38" w14:textId="77777777" w:rsidR="00E9743F" w:rsidRDefault="00944E3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C3E253" w14:textId="77777777" w:rsidR="00E9743F" w:rsidRDefault="00944E3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CE5FB8" w14:textId="77777777" w:rsidR="00E9743F" w:rsidRDefault="00944E32">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393B0051" w14:textId="77777777" w:rsidR="00E9743F" w:rsidRDefault="00944E32">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2788018A" w14:textId="77777777" w:rsidR="00E9743F" w:rsidRDefault="00944E32">
            <w:pPr>
              <w:keepNext/>
              <w:keepLines/>
              <w:spacing w:after="0" w:line="240" w:lineRule="auto"/>
              <w:jc w:val="center"/>
            </w:pPr>
            <w:r>
              <w:rPr>
                <w:b/>
                <w:sz w:val="18"/>
              </w:rPr>
              <w:t>Indeks (%)</w:t>
            </w:r>
          </w:p>
        </w:tc>
      </w:tr>
      <w:tr w:rsidR="00E9743F" w14:paraId="3D9596AB" w14:textId="77777777">
        <w:trPr>
          <w:cantSplit/>
          <w:trHeight w:val="560"/>
        </w:trPr>
        <w:tc>
          <w:tcPr>
            <w:tcW w:w="700" w:type="dxa"/>
            <w:tcMar>
              <w:top w:w="0" w:type="dxa"/>
              <w:bottom w:w="0" w:type="dxa"/>
            </w:tcMar>
            <w:vAlign w:val="center"/>
          </w:tcPr>
          <w:p w14:paraId="1CFF2F09" w14:textId="77777777" w:rsidR="00E9743F" w:rsidRDefault="00944E32">
            <w:pPr>
              <w:keepNext/>
              <w:keepLines/>
              <w:spacing w:after="0" w:line="240" w:lineRule="auto"/>
            </w:pPr>
            <w:r>
              <w:rPr>
                <w:sz w:val="18"/>
              </w:rPr>
              <w:t>9151</w:t>
            </w:r>
          </w:p>
        </w:tc>
        <w:tc>
          <w:tcPr>
            <w:tcW w:w="3180" w:type="dxa"/>
            <w:tcMar>
              <w:top w:w="0" w:type="dxa"/>
              <w:bottom w:w="0" w:type="dxa"/>
            </w:tcMar>
            <w:vAlign w:val="center"/>
          </w:tcPr>
          <w:p w14:paraId="04BC297D" w14:textId="77777777" w:rsidR="00E9743F" w:rsidRDefault="00944E32">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4190633F" w14:textId="77777777" w:rsidR="00E9743F" w:rsidRDefault="00944E32">
            <w:pPr>
              <w:keepNext/>
              <w:keepLines/>
              <w:spacing w:after="0" w:line="240" w:lineRule="auto"/>
            </w:pPr>
            <w:r>
              <w:rPr>
                <w:sz w:val="18"/>
              </w:rPr>
              <w:t>9151</w:t>
            </w:r>
          </w:p>
        </w:tc>
        <w:tc>
          <w:tcPr>
            <w:tcW w:w="1860" w:type="dxa"/>
            <w:tcMar>
              <w:top w:w="0" w:type="dxa"/>
              <w:bottom w:w="0" w:type="dxa"/>
            </w:tcMar>
            <w:vAlign w:val="center"/>
          </w:tcPr>
          <w:p w14:paraId="5B3C42A0" w14:textId="77777777" w:rsidR="00E9743F" w:rsidRDefault="00944E32">
            <w:pPr>
              <w:keepNext/>
              <w:keepLines/>
              <w:spacing w:after="0" w:line="240" w:lineRule="auto"/>
              <w:jc w:val="right"/>
            </w:pPr>
            <w:r>
              <w:rPr>
                <w:sz w:val="18"/>
              </w:rPr>
              <w:t>0,00</w:t>
            </w:r>
          </w:p>
        </w:tc>
        <w:tc>
          <w:tcPr>
            <w:tcW w:w="1860" w:type="dxa"/>
            <w:tcMar>
              <w:top w:w="0" w:type="dxa"/>
              <w:bottom w:w="0" w:type="dxa"/>
            </w:tcMar>
            <w:vAlign w:val="center"/>
          </w:tcPr>
          <w:p w14:paraId="31D4CCB1" w14:textId="77777777" w:rsidR="00E9743F" w:rsidRDefault="00944E32">
            <w:pPr>
              <w:keepNext/>
              <w:keepLines/>
              <w:spacing w:after="0" w:line="240" w:lineRule="auto"/>
              <w:jc w:val="right"/>
            </w:pPr>
            <w:r>
              <w:rPr>
                <w:sz w:val="18"/>
              </w:rPr>
              <w:t>541.125,05</w:t>
            </w:r>
          </w:p>
        </w:tc>
        <w:tc>
          <w:tcPr>
            <w:tcW w:w="700" w:type="dxa"/>
            <w:tcMar>
              <w:top w:w="0" w:type="dxa"/>
              <w:bottom w:w="0" w:type="dxa"/>
            </w:tcMar>
            <w:vAlign w:val="center"/>
          </w:tcPr>
          <w:p w14:paraId="4BBD709A" w14:textId="77777777" w:rsidR="00E9743F" w:rsidRDefault="00944E32">
            <w:pPr>
              <w:keepNext/>
              <w:keepLines/>
              <w:spacing w:after="0" w:line="240" w:lineRule="auto"/>
              <w:jc w:val="right"/>
            </w:pPr>
            <w:r>
              <w:rPr>
                <w:sz w:val="18"/>
              </w:rPr>
              <w:t>-</w:t>
            </w:r>
          </w:p>
        </w:tc>
      </w:tr>
    </w:tbl>
    <w:p w14:paraId="2EC1E5FB" w14:textId="77777777" w:rsidR="00E9743F" w:rsidRDefault="00E9743F">
      <w:pPr>
        <w:spacing w:after="0"/>
      </w:pPr>
    </w:p>
    <w:p w14:paraId="5FA08913" w14:textId="77777777" w:rsidR="00E9743F" w:rsidRDefault="00944E32">
      <w:pPr>
        <w:jc w:val="both"/>
      </w:pPr>
      <w:r>
        <w:t>Promjena u vrijednosti i obujmu imovine na obrascu P-VRIO bilježi umanjenje u ukupnom iznosu od 541.125,05 eura. Umanjenje se najvećim dijelom odnosi na ispravak vrijednosti dugotrajne nefinancijske imovine u iznosu od 539.699,94 eura. Ispravak vrijednosti sukladno izmjenama Pravilnika o proračunskom računovodstvu i računskom planu evidentiran je preko podskupine 915. Preostali dio umanjenja u iznosu od 1.425,11 eura odnosi se na donacije računala temeljem Ugovora o donaciji Prirodoslovnoj školi, Elektrotehničkoj školi Split i III. gimnaziji Split za potrebe provedbe organizacije lutrije na maturalnoj svečanosti.</w:t>
      </w:r>
    </w:p>
    <w:p w14:paraId="2CB79544" w14:textId="77777777" w:rsidR="00E9743F" w:rsidRDefault="00944E32">
      <w:r>
        <w:t> </w:t>
      </w:r>
    </w:p>
    <w:p w14:paraId="19E612BE" w14:textId="77777777" w:rsidR="00E9743F" w:rsidRDefault="00E9743F"/>
    <w:p w14:paraId="2A69CFFA" w14:textId="77777777" w:rsidR="00E9743F" w:rsidRDefault="00944E32">
      <w:pPr>
        <w:keepNext/>
        <w:spacing w:line="240" w:lineRule="auto"/>
        <w:jc w:val="center"/>
      </w:pPr>
      <w:r>
        <w:rPr>
          <w:b/>
          <w:sz w:val="28"/>
        </w:rPr>
        <w:t>Izvještaj o obvezama</w:t>
      </w:r>
    </w:p>
    <w:p w14:paraId="385C7234" w14:textId="77777777" w:rsidR="00E9743F" w:rsidRDefault="00944E32">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9743F" w14:paraId="64BF4FD6" w14:textId="77777777">
        <w:trPr>
          <w:cantSplit/>
        </w:trPr>
        <w:tc>
          <w:tcPr>
            <w:tcW w:w="700" w:type="dxa"/>
            <w:shd w:val="clear" w:color="auto" w:fill="E7F0F9"/>
            <w:tcMar>
              <w:top w:w="0" w:type="dxa"/>
              <w:bottom w:w="0" w:type="dxa"/>
            </w:tcMar>
            <w:vAlign w:val="center"/>
          </w:tcPr>
          <w:p w14:paraId="4D95FA33" w14:textId="77777777" w:rsidR="00E9743F" w:rsidRDefault="00944E32">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AC510B" w14:textId="77777777" w:rsidR="00E9743F" w:rsidRDefault="00944E3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ADD6A9" w14:textId="77777777" w:rsidR="00E9743F" w:rsidRDefault="00944E3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10C5B1" w14:textId="77777777" w:rsidR="00E9743F" w:rsidRDefault="00944E32">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C7D0F42" w14:textId="77777777" w:rsidR="00E9743F" w:rsidRDefault="00944E32">
            <w:pPr>
              <w:keepNext/>
              <w:keepLines/>
              <w:spacing w:after="0" w:line="240" w:lineRule="auto"/>
              <w:jc w:val="center"/>
            </w:pPr>
            <w:r>
              <w:rPr>
                <w:b/>
                <w:sz w:val="18"/>
              </w:rPr>
              <w:t>Indeks (%)</w:t>
            </w:r>
          </w:p>
        </w:tc>
      </w:tr>
      <w:tr w:rsidR="00E9743F" w14:paraId="04FBE946" w14:textId="77777777">
        <w:trPr>
          <w:cantSplit/>
          <w:trHeight w:val="560"/>
        </w:trPr>
        <w:tc>
          <w:tcPr>
            <w:tcW w:w="700" w:type="dxa"/>
            <w:tcMar>
              <w:top w:w="0" w:type="dxa"/>
              <w:bottom w:w="0" w:type="dxa"/>
            </w:tcMar>
            <w:vAlign w:val="center"/>
          </w:tcPr>
          <w:p w14:paraId="1A669E22" w14:textId="77777777" w:rsidR="00E9743F" w:rsidRDefault="00E9743F">
            <w:pPr>
              <w:keepNext/>
              <w:keepLines/>
              <w:spacing w:after="0" w:line="240" w:lineRule="auto"/>
            </w:pPr>
          </w:p>
        </w:tc>
        <w:tc>
          <w:tcPr>
            <w:tcW w:w="3180" w:type="dxa"/>
            <w:tcMar>
              <w:top w:w="0" w:type="dxa"/>
              <w:bottom w:w="0" w:type="dxa"/>
            </w:tcMar>
            <w:vAlign w:val="center"/>
          </w:tcPr>
          <w:p w14:paraId="6DCD4C93" w14:textId="77777777" w:rsidR="00E9743F" w:rsidRDefault="00944E32">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77FF9584" w14:textId="77777777" w:rsidR="00E9743F" w:rsidRDefault="00944E32">
            <w:pPr>
              <w:keepNext/>
              <w:keepLines/>
              <w:spacing w:after="0" w:line="240" w:lineRule="auto"/>
            </w:pPr>
            <w:r>
              <w:rPr>
                <w:sz w:val="18"/>
              </w:rPr>
              <w:t>V007</w:t>
            </w:r>
          </w:p>
        </w:tc>
        <w:tc>
          <w:tcPr>
            <w:tcW w:w="1860" w:type="dxa"/>
            <w:tcMar>
              <w:top w:w="0" w:type="dxa"/>
              <w:bottom w:w="0" w:type="dxa"/>
            </w:tcMar>
            <w:vAlign w:val="center"/>
          </w:tcPr>
          <w:p w14:paraId="2317DB5F" w14:textId="77777777" w:rsidR="00E9743F" w:rsidRDefault="00944E32">
            <w:pPr>
              <w:keepNext/>
              <w:keepLines/>
              <w:spacing w:after="0" w:line="240" w:lineRule="auto"/>
              <w:jc w:val="right"/>
            </w:pPr>
            <w:r>
              <w:rPr>
                <w:sz w:val="18"/>
              </w:rPr>
              <w:t>143.315,67</w:t>
            </w:r>
          </w:p>
        </w:tc>
        <w:tc>
          <w:tcPr>
            <w:tcW w:w="700" w:type="dxa"/>
            <w:tcMar>
              <w:top w:w="0" w:type="dxa"/>
              <w:bottom w:w="0" w:type="dxa"/>
            </w:tcMar>
            <w:vAlign w:val="center"/>
          </w:tcPr>
          <w:p w14:paraId="65478D12" w14:textId="77777777" w:rsidR="00E9743F" w:rsidRDefault="00944E32">
            <w:pPr>
              <w:keepNext/>
              <w:keepLines/>
              <w:spacing w:after="0" w:line="240" w:lineRule="auto"/>
              <w:jc w:val="right"/>
            </w:pPr>
            <w:r>
              <w:rPr>
                <w:sz w:val="18"/>
              </w:rPr>
              <w:t>-</w:t>
            </w:r>
          </w:p>
        </w:tc>
      </w:tr>
    </w:tbl>
    <w:p w14:paraId="4F30CDF6" w14:textId="77777777" w:rsidR="00E9743F" w:rsidRDefault="00E9743F">
      <w:pPr>
        <w:spacing w:after="0"/>
      </w:pPr>
    </w:p>
    <w:p w14:paraId="1E5A44AA" w14:textId="77777777" w:rsidR="00E9743F" w:rsidRDefault="00944E32">
      <w:r>
        <w:t>Dospjele obveze se prvenstveno odnose na prijenose sredstava partnerima u sklopu EU Interreg projekta Smart protect. Sukladno internim procedurama prijenos je izvršen po dostavljenoj dokumentaciji od strane voditelja projekta. Navedena, kao i ostale dospjele obveze na dan 31.12.2025. su podmirene do slanja ovog izvještaja, odnosno plaćene su početkom siječnja 2026. godine.</w:t>
      </w:r>
    </w:p>
    <w:p w14:paraId="0808EFA0" w14:textId="77777777" w:rsidR="00E9743F" w:rsidRDefault="00E9743F"/>
    <w:p w14:paraId="2EDAEE22" w14:textId="77777777" w:rsidR="0074486A" w:rsidRDefault="0074486A">
      <w:pPr>
        <w:keepNext/>
        <w:spacing w:line="240" w:lineRule="auto"/>
        <w:jc w:val="center"/>
        <w:rPr>
          <w:sz w:val="28"/>
        </w:rPr>
      </w:pPr>
    </w:p>
    <w:p w14:paraId="59DD73A3" w14:textId="75EA0BFD" w:rsidR="00E9743F" w:rsidRDefault="00944E32">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9743F" w14:paraId="45EDDCA3" w14:textId="77777777">
        <w:trPr>
          <w:cantSplit/>
        </w:trPr>
        <w:tc>
          <w:tcPr>
            <w:tcW w:w="700" w:type="dxa"/>
            <w:shd w:val="clear" w:color="auto" w:fill="E7F0F9"/>
            <w:tcMar>
              <w:top w:w="0" w:type="dxa"/>
              <w:bottom w:w="0" w:type="dxa"/>
            </w:tcMar>
            <w:vAlign w:val="center"/>
          </w:tcPr>
          <w:p w14:paraId="1FAA1BFE" w14:textId="77777777" w:rsidR="00E9743F" w:rsidRDefault="00944E32">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C00A8B4" w14:textId="77777777" w:rsidR="00E9743F" w:rsidRDefault="00944E3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54DB88" w14:textId="77777777" w:rsidR="00E9743F" w:rsidRDefault="00944E3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76B796" w14:textId="77777777" w:rsidR="00E9743F" w:rsidRDefault="00944E32">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F6DE4C3" w14:textId="77777777" w:rsidR="00E9743F" w:rsidRDefault="00944E32">
            <w:pPr>
              <w:keepNext/>
              <w:keepLines/>
              <w:spacing w:after="0" w:line="240" w:lineRule="auto"/>
              <w:jc w:val="center"/>
            </w:pPr>
            <w:r>
              <w:rPr>
                <w:b/>
                <w:sz w:val="18"/>
              </w:rPr>
              <w:t>Indeks (%)</w:t>
            </w:r>
          </w:p>
        </w:tc>
      </w:tr>
      <w:tr w:rsidR="00E9743F" w14:paraId="5F055A8A" w14:textId="77777777">
        <w:trPr>
          <w:cantSplit/>
          <w:trHeight w:val="560"/>
        </w:trPr>
        <w:tc>
          <w:tcPr>
            <w:tcW w:w="700" w:type="dxa"/>
            <w:tcMar>
              <w:top w:w="0" w:type="dxa"/>
              <w:bottom w:w="0" w:type="dxa"/>
            </w:tcMar>
            <w:vAlign w:val="center"/>
          </w:tcPr>
          <w:p w14:paraId="51364436" w14:textId="77777777" w:rsidR="00E9743F" w:rsidRDefault="00E9743F">
            <w:pPr>
              <w:keepNext/>
              <w:keepLines/>
              <w:spacing w:after="0" w:line="240" w:lineRule="auto"/>
            </w:pPr>
          </w:p>
        </w:tc>
        <w:tc>
          <w:tcPr>
            <w:tcW w:w="3180" w:type="dxa"/>
            <w:tcMar>
              <w:top w:w="0" w:type="dxa"/>
              <w:bottom w:w="0" w:type="dxa"/>
            </w:tcMar>
            <w:vAlign w:val="center"/>
          </w:tcPr>
          <w:p w14:paraId="29E3B425" w14:textId="77777777" w:rsidR="00E9743F" w:rsidRDefault="00944E32">
            <w:pPr>
              <w:keepNext/>
              <w:keepLines/>
              <w:spacing w:after="0" w:line="240" w:lineRule="auto"/>
            </w:pPr>
            <w:r>
              <w:rPr>
                <w:sz w:val="18"/>
              </w:rPr>
              <w:t>Međusobne obveze subjekata općeg proračuna</w:t>
            </w:r>
          </w:p>
        </w:tc>
        <w:tc>
          <w:tcPr>
            <w:tcW w:w="700" w:type="dxa"/>
            <w:tcMar>
              <w:top w:w="0" w:type="dxa"/>
              <w:bottom w:w="0" w:type="dxa"/>
            </w:tcMar>
            <w:vAlign w:val="center"/>
          </w:tcPr>
          <w:p w14:paraId="1F82B1D5" w14:textId="77777777" w:rsidR="00E9743F" w:rsidRDefault="00944E32">
            <w:pPr>
              <w:keepNext/>
              <w:keepLines/>
              <w:spacing w:after="0" w:line="240" w:lineRule="auto"/>
            </w:pPr>
            <w:r>
              <w:rPr>
                <w:sz w:val="18"/>
              </w:rPr>
              <w:t>V010</w:t>
            </w:r>
          </w:p>
        </w:tc>
        <w:tc>
          <w:tcPr>
            <w:tcW w:w="1860" w:type="dxa"/>
            <w:tcMar>
              <w:top w:w="0" w:type="dxa"/>
              <w:bottom w:w="0" w:type="dxa"/>
            </w:tcMar>
            <w:vAlign w:val="center"/>
          </w:tcPr>
          <w:p w14:paraId="73ECE94E" w14:textId="77777777" w:rsidR="00E9743F" w:rsidRDefault="00944E32">
            <w:pPr>
              <w:keepNext/>
              <w:keepLines/>
              <w:spacing w:after="0" w:line="240" w:lineRule="auto"/>
              <w:jc w:val="right"/>
            </w:pPr>
            <w:r>
              <w:rPr>
                <w:sz w:val="18"/>
              </w:rPr>
              <w:t>154.691,16</w:t>
            </w:r>
          </w:p>
        </w:tc>
        <w:tc>
          <w:tcPr>
            <w:tcW w:w="700" w:type="dxa"/>
            <w:tcMar>
              <w:top w:w="0" w:type="dxa"/>
              <w:bottom w:w="0" w:type="dxa"/>
            </w:tcMar>
            <w:vAlign w:val="center"/>
          </w:tcPr>
          <w:p w14:paraId="62BF46A0" w14:textId="77777777" w:rsidR="00E9743F" w:rsidRDefault="00944E32">
            <w:pPr>
              <w:keepNext/>
              <w:keepLines/>
              <w:spacing w:after="0" w:line="240" w:lineRule="auto"/>
              <w:jc w:val="right"/>
            </w:pPr>
            <w:r>
              <w:rPr>
                <w:sz w:val="18"/>
              </w:rPr>
              <w:t>-</w:t>
            </w:r>
          </w:p>
        </w:tc>
      </w:tr>
    </w:tbl>
    <w:p w14:paraId="6B6F47FB" w14:textId="77777777" w:rsidR="00E9743F" w:rsidRDefault="00E9743F">
      <w:pPr>
        <w:spacing w:after="0"/>
      </w:pPr>
    </w:p>
    <w:p w14:paraId="27295EF2" w14:textId="1FEE66B2" w:rsidR="00E9743F" w:rsidRDefault="00944E32">
      <w:pPr>
        <w:jc w:val="both"/>
      </w:pPr>
      <w:r>
        <w:lastRenderedPageBreak/>
        <w:t>Na poziciji Međusobne obveze proračunskih korisnika Obrazac: OBVEZE u iznosu od 154.691,16 eura odnose se na nedospjele obveze prema Sveučilištu u Splitu. </w:t>
      </w:r>
    </w:p>
    <w:p w14:paraId="17E67410" w14:textId="77777777" w:rsidR="0074486A" w:rsidRDefault="0074486A">
      <w:pPr>
        <w:jc w:val="both"/>
      </w:pPr>
    </w:p>
    <w:tbl>
      <w:tblPr>
        <w:tblStyle w:val="TableGrid"/>
        <w:tblW w:w="4758" w:type="pct"/>
        <w:tblLook w:val="04A0" w:firstRow="1" w:lastRow="0" w:firstColumn="1" w:lastColumn="0" w:noHBand="0" w:noVBand="1"/>
      </w:tblPr>
      <w:tblGrid>
        <w:gridCol w:w="777"/>
        <w:gridCol w:w="6581"/>
        <w:gridCol w:w="1539"/>
      </w:tblGrid>
      <w:tr w:rsidR="00E9743F" w14:paraId="0824AC3C" w14:textId="77777777">
        <w:trPr>
          <w:trHeight w:val="662"/>
        </w:trPr>
        <w:tc>
          <w:tcPr>
            <w:tcW w:w="436" w:type="pct"/>
            <w:vAlign w:val="center"/>
          </w:tcPr>
          <w:p w14:paraId="792C4001" w14:textId="77777777" w:rsidR="00E9743F" w:rsidRPr="00E458FA" w:rsidRDefault="00944E32">
            <w:pPr>
              <w:rPr>
                <w:b/>
                <w:bCs/>
              </w:rPr>
            </w:pPr>
            <w:r w:rsidRPr="00E458FA">
              <w:rPr>
                <w:b/>
                <w:bCs/>
              </w:rPr>
              <w:t>R.br.</w:t>
            </w:r>
          </w:p>
        </w:tc>
        <w:tc>
          <w:tcPr>
            <w:tcW w:w="3697" w:type="pct"/>
            <w:vAlign w:val="center"/>
          </w:tcPr>
          <w:p w14:paraId="31A05B41" w14:textId="77777777" w:rsidR="00E9743F" w:rsidRPr="00E458FA" w:rsidRDefault="00944E32">
            <w:pPr>
              <w:rPr>
                <w:b/>
                <w:bCs/>
              </w:rPr>
            </w:pPr>
            <w:r w:rsidRPr="00E458FA">
              <w:rPr>
                <w:b/>
                <w:bCs/>
              </w:rPr>
              <w:t>Međusobne obveze proračunskih korisnika</w:t>
            </w:r>
          </w:p>
        </w:tc>
        <w:tc>
          <w:tcPr>
            <w:tcW w:w="865" w:type="pct"/>
            <w:vAlign w:val="center"/>
          </w:tcPr>
          <w:p w14:paraId="6FD98DE0" w14:textId="724DF85D" w:rsidR="00E9743F" w:rsidRPr="00E458FA" w:rsidRDefault="00944E32" w:rsidP="00E458FA">
            <w:pPr>
              <w:jc w:val="center"/>
              <w:rPr>
                <w:b/>
                <w:bCs/>
              </w:rPr>
            </w:pPr>
            <w:r w:rsidRPr="00E458FA">
              <w:rPr>
                <w:b/>
                <w:bCs/>
              </w:rPr>
              <w:t>Iznos</w:t>
            </w:r>
          </w:p>
        </w:tc>
      </w:tr>
      <w:tr w:rsidR="00E9743F" w14:paraId="1A833C7E" w14:textId="77777777">
        <w:trPr>
          <w:trHeight w:val="878"/>
        </w:trPr>
        <w:tc>
          <w:tcPr>
            <w:tcW w:w="436" w:type="pct"/>
            <w:vAlign w:val="center"/>
          </w:tcPr>
          <w:p w14:paraId="01F035F8" w14:textId="77777777" w:rsidR="00E9743F" w:rsidRDefault="00944E32">
            <w:r>
              <w:t>1.1</w:t>
            </w:r>
          </w:p>
        </w:tc>
        <w:tc>
          <w:tcPr>
            <w:tcW w:w="3697" w:type="pct"/>
            <w:vAlign w:val="center"/>
          </w:tcPr>
          <w:p w14:paraId="77531919" w14:textId="77777777" w:rsidR="00E9743F" w:rsidRDefault="00944E32">
            <w:r>
              <w:t>Obveza 15%  od uplaćenog iznosa za svakog upisanog studenta, koji nije obuhvaćen Ugovorom o programskom financiranju    (1.114 studenata)</w:t>
            </w:r>
          </w:p>
        </w:tc>
        <w:tc>
          <w:tcPr>
            <w:tcW w:w="865" w:type="pct"/>
            <w:vAlign w:val="center"/>
          </w:tcPr>
          <w:p w14:paraId="49F6C227" w14:textId="477B0CA0" w:rsidR="00E9743F" w:rsidRDefault="00944E32" w:rsidP="00E458FA">
            <w:pPr>
              <w:jc w:val="center"/>
            </w:pPr>
            <w:r>
              <w:t>146.508,29</w:t>
            </w:r>
          </w:p>
        </w:tc>
      </w:tr>
      <w:tr w:rsidR="00E9743F" w14:paraId="6F991F82" w14:textId="77777777">
        <w:trPr>
          <w:trHeight w:val="542"/>
        </w:trPr>
        <w:tc>
          <w:tcPr>
            <w:tcW w:w="436" w:type="pct"/>
            <w:vAlign w:val="center"/>
          </w:tcPr>
          <w:p w14:paraId="37B47DF3" w14:textId="77777777" w:rsidR="00E9743F" w:rsidRDefault="00944E32">
            <w:r>
              <w:t>1.2</w:t>
            </w:r>
          </w:p>
        </w:tc>
        <w:tc>
          <w:tcPr>
            <w:tcW w:w="3697" w:type="pct"/>
            <w:vAlign w:val="center"/>
          </w:tcPr>
          <w:p w14:paraId="22509464" w14:textId="77777777" w:rsidR="00E9743F" w:rsidRDefault="00944E32">
            <w:r>
              <w:t>Obveza 3% od vlastitih prihoda institucije u zadnjem tromjesečju 2025.g.            </w:t>
            </w:r>
          </w:p>
        </w:tc>
        <w:tc>
          <w:tcPr>
            <w:tcW w:w="865" w:type="pct"/>
            <w:vAlign w:val="center"/>
          </w:tcPr>
          <w:p w14:paraId="08599440" w14:textId="0C2E9670" w:rsidR="00E9743F" w:rsidRDefault="00944E32">
            <w:r>
              <w:t xml:space="preserve">      </w:t>
            </w:r>
            <w:r w:rsidR="00E458FA">
              <w:t xml:space="preserve"> </w:t>
            </w:r>
            <w:r>
              <w:t>8.182,87 </w:t>
            </w:r>
          </w:p>
        </w:tc>
      </w:tr>
      <w:tr w:rsidR="00E9743F" w14:paraId="1EBF70FD" w14:textId="77777777">
        <w:trPr>
          <w:trHeight w:val="542"/>
        </w:trPr>
        <w:tc>
          <w:tcPr>
            <w:tcW w:w="436" w:type="pct"/>
            <w:vAlign w:val="center"/>
          </w:tcPr>
          <w:p w14:paraId="605AAA46" w14:textId="77777777" w:rsidR="00E9743F" w:rsidRPr="00E458FA" w:rsidRDefault="00944E32">
            <w:pPr>
              <w:rPr>
                <w:b/>
                <w:bCs/>
              </w:rPr>
            </w:pPr>
            <w:r w:rsidRPr="00E458FA">
              <w:rPr>
                <w:b/>
                <w:bCs/>
              </w:rPr>
              <w:t>1.</w:t>
            </w:r>
          </w:p>
        </w:tc>
        <w:tc>
          <w:tcPr>
            <w:tcW w:w="3697" w:type="pct"/>
            <w:vAlign w:val="center"/>
          </w:tcPr>
          <w:p w14:paraId="11431693" w14:textId="77777777" w:rsidR="00E9743F" w:rsidRPr="00E458FA" w:rsidRDefault="00944E32">
            <w:pPr>
              <w:rPr>
                <w:b/>
                <w:bCs/>
              </w:rPr>
            </w:pPr>
            <w:r w:rsidRPr="00E458FA">
              <w:rPr>
                <w:b/>
                <w:bCs/>
              </w:rPr>
              <w:t>UKUPNO</w:t>
            </w:r>
          </w:p>
        </w:tc>
        <w:tc>
          <w:tcPr>
            <w:tcW w:w="865" w:type="pct"/>
            <w:vAlign w:val="center"/>
          </w:tcPr>
          <w:p w14:paraId="55C5C265" w14:textId="1142E19B" w:rsidR="00E9743F" w:rsidRPr="00E458FA" w:rsidRDefault="00944E32" w:rsidP="00E458FA">
            <w:pPr>
              <w:jc w:val="center"/>
              <w:rPr>
                <w:b/>
                <w:bCs/>
              </w:rPr>
            </w:pPr>
            <w:r w:rsidRPr="00E458FA">
              <w:rPr>
                <w:b/>
                <w:bCs/>
              </w:rPr>
              <w:t>154.691,16</w:t>
            </w:r>
          </w:p>
        </w:tc>
      </w:tr>
    </w:tbl>
    <w:p w14:paraId="315E5AA6" w14:textId="2E9E4A90" w:rsidR="00E9743F" w:rsidRDefault="00944E32">
      <w:r>
        <w:t> </w:t>
      </w:r>
    </w:p>
    <w:p w14:paraId="099F4B49" w14:textId="77777777" w:rsidR="00E458FA" w:rsidRDefault="00E458FA"/>
    <w:p w14:paraId="3A738723" w14:textId="07012325" w:rsidR="00E458FA" w:rsidRPr="00E458FA" w:rsidRDefault="00E458FA" w:rsidP="00E458FA">
      <w:pPr>
        <w:spacing w:line="240" w:lineRule="auto"/>
        <w:jc w:val="center"/>
        <w:rPr>
          <w:sz w:val="28"/>
          <w:szCs w:val="28"/>
        </w:rPr>
      </w:pPr>
      <w:r w:rsidRPr="00E458FA">
        <w:rPr>
          <w:b/>
          <w:sz w:val="28"/>
          <w:szCs w:val="28"/>
        </w:rPr>
        <w:t>EU izvještaj</w:t>
      </w:r>
    </w:p>
    <w:p w14:paraId="228D9D41" w14:textId="77777777" w:rsidR="00E9743F" w:rsidRDefault="00E9743F"/>
    <w:p w14:paraId="2DD68A6D" w14:textId="77777777" w:rsidR="00E9743F" w:rsidRDefault="00944E32">
      <w:pPr>
        <w:keepNext/>
        <w:spacing w:line="240" w:lineRule="auto"/>
        <w:jc w:val="center"/>
      </w:pPr>
      <w:r>
        <w:rPr>
          <w:sz w:val="28"/>
        </w:rPr>
        <w:t>Bilješka 14.</w:t>
      </w:r>
    </w:p>
    <w:p w14:paraId="21A84881" w14:textId="77777777" w:rsidR="0074486A" w:rsidRDefault="00944E32" w:rsidP="0074486A">
      <w:pPr>
        <w:jc w:val="both"/>
      </w:pPr>
      <w:r>
        <w:t>Izmjenama i dopunama Pravilnika o financijskom izvještavanju u proračunskom računovodstvu uvedena je obveza sastavljanja EU izvještaja za programsko razdoblje 2021. – 2027., radi praćenja financijskih tijekova EU sredstava prema jedinstvenim oznakama izvora financiranja. EU izvještaj obuhvaća podatke o prihodima i primicima, rashodima i izdacima, stanju potraživanja i obveza, obračunatim prihodima i rashodima poslovanja te izvanbilančnim zapisima, uključujući izvor nacionalnog sufinanciranja.</w:t>
      </w:r>
    </w:p>
    <w:p w14:paraId="1BE72C3E" w14:textId="77777777" w:rsidR="0074486A" w:rsidRDefault="00944E32" w:rsidP="0074486A">
      <w:pPr>
        <w:jc w:val="both"/>
      </w:pPr>
      <w:r>
        <w:br/>
        <w:t>S obzirom na to da se izvještaj sastavlja i podnosi po prvi put, usporedni podaci iz prethodnih razdoblja nisu dostupni.</w:t>
      </w:r>
    </w:p>
    <w:p w14:paraId="1EEC55F7" w14:textId="77777777" w:rsidR="0074486A" w:rsidRDefault="00944E32">
      <w:r>
        <w:br/>
        <w:t>U izvještaj su uključeni EU projekti razvrstani po izvorima financiranja kako slijedi:</w:t>
      </w:r>
      <w:r>
        <w:br/>
        <w:t>Izvor 51: NAHV, DARE, INTEC Mobility Development in Albania and Montenegro, EXCURS, EuroCC 2, CHIC, Erste</w:t>
      </w:r>
      <w:r>
        <w:br/>
        <w:t>Izvor 561: SpaceSTEM</w:t>
      </w:r>
      <w:r>
        <w:br/>
        <w:t>Izvor 563: STRENGTH, Digital Plan, SMART PROTECT, DATACROSS II, Razvoj vodene zavjese za sprječavanje prodora mora, OptiNERG, Implementacija i razvoj sustava oko propelera za regeneraciju energije, SeaMate, SystE-mobility, Konvergentni IT-OT sustav upravljanja energijom (EMS), Tehnet Smart Control, Navis Marin digitalna platforma</w:t>
      </w:r>
      <w:r>
        <w:br/>
        <w:t>Izvor 581: 9 institucijskih projekata, AEM Šolić, HRZZ NPOO Šerić, POC Pivac, POC Penga, POC Russo, POC Čatipović, LUMINIH 2</w:t>
      </w:r>
    </w:p>
    <w:p w14:paraId="1D7C9019" w14:textId="53C75723" w:rsidR="00E9743F" w:rsidRDefault="00944E32" w:rsidP="0074486A">
      <w:pPr>
        <w:jc w:val="both"/>
        <w:rPr>
          <w:b/>
        </w:rPr>
      </w:pPr>
      <w:r>
        <w:lastRenderedPageBreak/>
        <w:br/>
        <w:t xml:space="preserve">Kao partner na projektima čiji su nositelji trgovačka društva iz Republike Hrvatske, a koja su izvršila prijenos EU sredstava, ostvareni su prihodi koji se u poslovnim knjigama evidentiraju na kontu 663 – Tekuće donacije od trgovačkih društava. </w:t>
      </w:r>
      <w:r>
        <w:rPr>
          <w:b/>
        </w:rPr>
        <w:t>S obzirom na to da je konto 663 izostavljen u EU izvještaju po izvorima financiranja, naglašavamo da je u 2025. godini po toj osnovi ostvaren ukupni prihod u iznosu od 285.331,70 EUR.</w:t>
      </w:r>
    </w:p>
    <w:p w14:paraId="2166CD1B" w14:textId="7FD75427" w:rsidR="001B4461" w:rsidRDefault="001B4461" w:rsidP="0074486A">
      <w:pPr>
        <w:jc w:val="both"/>
        <w:rPr>
          <w:b/>
        </w:rPr>
      </w:pPr>
    </w:p>
    <w:p w14:paraId="02C46A16" w14:textId="77777777" w:rsidR="001B4461" w:rsidRDefault="001B4461" w:rsidP="0074486A">
      <w:pPr>
        <w:jc w:val="both"/>
      </w:pPr>
    </w:p>
    <w:p w14:paraId="4EB0E240" w14:textId="77777777" w:rsidR="00E9743F" w:rsidRDefault="00944E32" w:rsidP="0074486A">
      <w:pPr>
        <w:jc w:val="both"/>
      </w:pPr>
      <w:r>
        <w:t> </w:t>
      </w:r>
    </w:p>
    <w:p w14:paraId="3D3122EB" w14:textId="5C2A09D0" w:rsidR="001B4461" w:rsidRPr="00B95DCC" w:rsidRDefault="001B4461" w:rsidP="001B4461">
      <w:pPr>
        <w:tabs>
          <w:tab w:val="center" w:pos="6804"/>
        </w:tabs>
        <w:spacing w:line="276" w:lineRule="auto"/>
        <w:ind w:right="-2"/>
      </w:pPr>
      <w:r>
        <w:tab/>
      </w:r>
      <w:r w:rsidRPr="00B95DCC">
        <w:t>Voditeljica računovodstva:</w:t>
      </w:r>
    </w:p>
    <w:p w14:paraId="21156033" w14:textId="77777777" w:rsidR="001B4461" w:rsidRPr="00B95DCC" w:rsidRDefault="001B4461" w:rsidP="001B4461">
      <w:pPr>
        <w:tabs>
          <w:tab w:val="center" w:pos="6804"/>
        </w:tabs>
        <w:spacing w:line="276" w:lineRule="auto"/>
        <w:ind w:right="-2"/>
      </w:pPr>
      <w:r w:rsidRPr="00B95DCC">
        <w:tab/>
        <w:t>______________________</w:t>
      </w:r>
    </w:p>
    <w:p w14:paraId="4C183B4D" w14:textId="77777777" w:rsidR="001B4461" w:rsidRPr="00B95DCC" w:rsidRDefault="001B4461" w:rsidP="001B4461">
      <w:pPr>
        <w:tabs>
          <w:tab w:val="center" w:pos="6804"/>
        </w:tabs>
        <w:spacing w:line="276" w:lineRule="auto"/>
        <w:ind w:right="-2"/>
      </w:pPr>
      <w:r w:rsidRPr="00B95DCC">
        <w:tab/>
        <w:t>Dajana Viđak, dipl. oec.</w:t>
      </w:r>
    </w:p>
    <w:p w14:paraId="58A7CA58" w14:textId="77777777" w:rsidR="001B4461" w:rsidRPr="00B95DCC" w:rsidRDefault="001B4461" w:rsidP="001B4461">
      <w:pPr>
        <w:tabs>
          <w:tab w:val="left" w:pos="5103"/>
          <w:tab w:val="center" w:pos="6804"/>
        </w:tabs>
        <w:spacing w:line="276" w:lineRule="auto"/>
        <w:ind w:right="-2"/>
      </w:pPr>
    </w:p>
    <w:p w14:paraId="380A75D9" w14:textId="77777777" w:rsidR="001B4461" w:rsidRPr="00B95DCC" w:rsidRDefault="001B4461" w:rsidP="001B4461">
      <w:pPr>
        <w:tabs>
          <w:tab w:val="center" w:pos="6804"/>
        </w:tabs>
        <w:spacing w:line="276" w:lineRule="auto"/>
        <w:ind w:right="-2"/>
      </w:pPr>
      <w:r w:rsidRPr="00B95DCC">
        <w:tab/>
        <w:t>Dekan:</w:t>
      </w:r>
    </w:p>
    <w:p w14:paraId="0457E48C" w14:textId="77777777" w:rsidR="001B4461" w:rsidRPr="00B95DCC" w:rsidRDefault="001B4461" w:rsidP="001B4461">
      <w:pPr>
        <w:tabs>
          <w:tab w:val="center" w:pos="6804"/>
        </w:tabs>
        <w:spacing w:line="276" w:lineRule="auto"/>
        <w:ind w:right="-2"/>
      </w:pPr>
      <w:r w:rsidRPr="00B95DCC">
        <w:tab/>
        <w:t>______________________</w:t>
      </w:r>
    </w:p>
    <w:p w14:paraId="3AE772C0" w14:textId="77777777" w:rsidR="001B4461" w:rsidRPr="00B95DCC" w:rsidRDefault="001B4461" w:rsidP="001B4461">
      <w:pPr>
        <w:tabs>
          <w:tab w:val="center" w:pos="6804"/>
        </w:tabs>
        <w:spacing w:line="276" w:lineRule="auto"/>
        <w:ind w:right="-2"/>
      </w:pPr>
      <w:r w:rsidRPr="00B95DCC">
        <w:tab/>
        <w:t>Prof. dr. sc. Branimir Lela</w:t>
      </w:r>
    </w:p>
    <w:p w14:paraId="72E4A2EA" w14:textId="77777777" w:rsidR="00E9743F" w:rsidRDefault="00E9743F"/>
    <w:sectPr w:rsidR="00E974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43F"/>
    <w:rsid w:val="001B4461"/>
    <w:rsid w:val="003C1013"/>
    <w:rsid w:val="0074486A"/>
    <w:rsid w:val="00944E32"/>
    <w:rsid w:val="00D023D3"/>
    <w:rsid w:val="00E458FA"/>
    <w:rsid w:val="00E9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64629"/>
  <w15:docId w15:val="{60D3B862-C98E-4686-B923-EDB4E95C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2142</Words>
  <Characters>12211</Characters>
  <Application>Microsoft Office Word</Application>
  <DocSecurity>0</DocSecurity>
  <Lines>101</Lines>
  <Paragraphs>28</Paragraphs>
  <ScaleCrop>false</ScaleCrop>
  <Company/>
  <LinksUpToDate>false</LinksUpToDate>
  <CharactersWithSpaces>14325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Dajana</dc:creator>
  <cp:lastModifiedBy>Anamarija Grubišić</cp:lastModifiedBy>
  <cp:revision>2</cp:revision>
  <dcterms:created xsi:type="dcterms:W3CDTF">2026-02-03T12:42:00Z</dcterms:created>
  <dcterms:modified xsi:type="dcterms:W3CDTF">2026-02-03T12:42:00Z</dcterms:modified>
</cp:coreProperties>
</file>